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theme/themeOverride4.xml" ContentType="application/vnd.openxmlformats-officedocument.themeOverride+xml"/>
  <Override PartName="/word/charts/chart10.xml" ContentType="application/vnd.openxmlformats-officedocument.drawingml.chart+xml"/>
  <Default Extension="bin" ContentType="application/vnd.openxmlformats-officedocument.oleObject"/>
  <Override PartName="/customXml/itemProps1.xml" ContentType="application/vnd.openxmlformats-officedocument.customXmlProperties+xml"/>
  <Override PartName="/word/theme/themeOverride2.xml" ContentType="application/vnd.openxmlformats-officedocument.themeOverride+xml"/>
  <Override PartName="/word/theme/themeOverride3.xml" ContentType="application/vnd.openxmlformats-officedocument.themeOverride+xml"/>
  <Override PartName="/word/theme/themeOverride1.xml" ContentType="application/vnd.openxmlformats-officedocument.themeOverride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rawings/drawing1.xml" ContentType="application/vnd.openxmlformats-officedocument.drawingml.chartshapes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charts/chart2.xml" ContentType="application/vnd.openxmlformats-officedocument.drawingml.chart+xml"/>
  <Override PartName="/word/charts/chart3.xml" ContentType="application/vnd.openxmlformats-officedocument.drawingml.chart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11.xml" ContentType="application/vnd.openxmlformats-officedocument.drawingml.chart+xml"/>
  <Override PartName="/word/charts/chart12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line="264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ПОЯСНИТЕЛЬНАЯ ЗАПИСКА </w:t>
      </w:r>
    </w:p>
    <w:p>
      <w:pPr>
        <w:spacing w:line="264" w:lineRule="auto"/>
        <w:ind w:right="55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об исполнении </w:t>
      </w:r>
      <w:proofErr w:type="gramStart"/>
      <w:r>
        <w:rPr>
          <w:b/>
          <w:bCs/>
          <w:sz w:val="28"/>
          <w:szCs w:val="28"/>
        </w:rPr>
        <w:t>бюджета</w:t>
      </w:r>
      <w:proofErr w:type="gramEnd"/>
      <w:r>
        <w:rPr>
          <w:b/>
          <w:bCs/>
          <w:sz w:val="28"/>
          <w:szCs w:val="28"/>
        </w:rPr>
        <w:t xml:space="preserve"> ЗАТО Северск за 2019 год</w:t>
      </w:r>
    </w:p>
    <w:p>
      <w:pPr>
        <w:spacing w:line="264" w:lineRule="auto"/>
        <w:jc w:val="center"/>
        <w:rPr>
          <w:b/>
          <w:sz w:val="24"/>
          <w:szCs w:val="24"/>
        </w:rPr>
      </w:pPr>
    </w:p>
    <w:p>
      <w:pPr>
        <w:spacing w:line="264" w:lineRule="auto"/>
        <w:ind w:left="708" w:right="55" w:hanging="708"/>
        <w:jc w:val="center"/>
        <w:rPr>
          <w:b/>
          <w:bCs/>
          <w:sz w:val="24"/>
          <w:szCs w:val="24"/>
        </w:rPr>
      </w:pPr>
      <w:smartTag w:uri="urn:schemas-microsoft-com:office:smarttags" w:element="place">
        <w:r>
          <w:rPr>
            <w:b/>
            <w:bCs/>
            <w:sz w:val="24"/>
            <w:szCs w:val="24"/>
            <w:lang w:val="en-US"/>
          </w:rPr>
          <w:t>I</w:t>
        </w:r>
        <w:r>
          <w:rPr>
            <w:b/>
            <w:bCs/>
            <w:sz w:val="24"/>
            <w:szCs w:val="24"/>
          </w:rPr>
          <w:t>.</w:t>
        </w:r>
      </w:smartTag>
      <w:r>
        <w:rPr>
          <w:b/>
          <w:bCs/>
          <w:sz w:val="24"/>
          <w:szCs w:val="24"/>
        </w:rPr>
        <w:t xml:space="preserve"> ОБЩИЕ ПОЛОЖЕНИЯ</w:t>
      </w:r>
    </w:p>
    <w:p>
      <w:pPr>
        <w:pStyle w:val="20"/>
        <w:rPr>
          <w:sz w:val="16"/>
          <w:szCs w:val="16"/>
        </w:rPr>
      </w:pPr>
    </w:p>
    <w:p>
      <w:pPr>
        <w:pStyle w:val="20"/>
        <w:ind w:firstLine="567"/>
        <w:rPr>
          <w:rFonts w:eastAsia="Calibri" w:cs="Times New Roman CYR"/>
          <w:szCs w:val="24"/>
        </w:rPr>
      </w:pPr>
      <w:r>
        <w:t xml:space="preserve">Бюджет ЗАТО Северск на </w:t>
      </w:r>
      <w:r>
        <w:rPr>
          <w:rFonts w:eastAsia="Calibri" w:cs="Times New Roman CYR"/>
          <w:szCs w:val="24"/>
        </w:rPr>
        <w:t>2019 год был утвержден решением Думы ЗАТО Северск                  20.12.2018 № 46/1 по доходам в сумме 2 915 178,81 тыс. руб., по расходам в сумме 2 957 344,32 тыс. руб.; дефицит бюджета ЗАТО Северск в сумме 42 165,51 тыс. руб.</w:t>
      </w:r>
    </w:p>
    <w:p>
      <w:pPr>
        <w:pStyle w:val="20"/>
        <w:ind w:firstLine="567"/>
      </w:pPr>
      <w:r>
        <w:t>При исполнении бюджета ЗАТО Северск обеспечивалось выполнение обязательств, установленных:</w:t>
      </w:r>
    </w:p>
    <w:p>
      <w:pPr>
        <w:pStyle w:val="20"/>
        <w:tabs>
          <w:tab w:val="left" w:pos="851"/>
        </w:tabs>
        <w:rPr>
          <w:szCs w:val="24"/>
        </w:rPr>
      </w:pPr>
      <w:r>
        <w:tab/>
        <w:t>1. Соглашением между Министерством финансов Российской Федерации, Администрацией Томской области и ЗАТО Северск от 13.06.2018 № 01-01-06/06-262 «</w:t>
      </w:r>
      <w:r>
        <w:rPr>
          <w:szCs w:val="24"/>
        </w:rPr>
        <w:t>О предоставлении и обеспечении эффективного использования межбюджетных трансфертов, выделяемых из федерального бюджета бюджету Томской области</w:t>
      </w:r>
      <w:r>
        <w:rPr>
          <w:b/>
          <w:szCs w:val="24"/>
        </w:rPr>
        <w:t xml:space="preserve"> </w:t>
      </w:r>
      <w:r>
        <w:rPr>
          <w:szCs w:val="24"/>
        </w:rPr>
        <w:t>для предоставления бюджету закрытого административно – территориального образования Северск Томской области дотации на компенсацию дополнительных расходов и (или) потерь бюджетов закрытых административно – территориальных образований, связанных с особым режимом безопасного функционирования» (далее – трехсторонне Соглашение);</w:t>
      </w:r>
    </w:p>
    <w:p>
      <w:pPr>
        <w:pStyle w:val="20"/>
        <w:tabs>
          <w:tab w:val="left" w:pos="851"/>
        </w:tabs>
        <w:ind w:firstLine="710"/>
      </w:pPr>
      <w:r>
        <w:t xml:space="preserve">2. Соглашением с Департаментом финансов Томской области от </w:t>
      </w:r>
      <w:r>
        <w:rPr>
          <w:szCs w:val="24"/>
        </w:rPr>
        <w:t>11.03.2019 № 21-С</w:t>
      </w:r>
      <w:r>
        <w:rPr>
          <w:b/>
          <w:szCs w:val="24"/>
        </w:rPr>
        <w:t xml:space="preserve"> </w:t>
      </w:r>
      <w:r>
        <w:t>«О мерах по повышению эффективности использования бюджетных средств и увеличению поступлений налоговых и неналоговых доходов местного бюджета муниципального образования «Городской округ ЗАТО Северск»</w:t>
      </w:r>
    </w:p>
    <w:p>
      <w:pPr>
        <w:pStyle w:val="20"/>
        <w:ind w:firstLine="567"/>
      </w:pPr>
      <w:r>
        <w:t>3. Соглашениями с отраслевыми департаментами Администрации Томской области.</w:t>
      </w:r>
    </w:p>
    <w:p>
      <w:pPr>
        <w:pStyle w:val="20"/>
        <w:ind w:firstLine="567"/>
      </w:pPr>
      <w:r>
        <w:t>В целях обеспечения устойчивости и сбалансированности бюджета при его исполнении реализовывались мероприятия, установленные:</w:t>
      </w:r>
    </w:p>
    <w:p>
      <w:pPr>
        <w:pStyle w:val="20"/>
        <w:tabs>
          <w:tab w:val="left" w:pos="567"/>
        </w:tabs>
      </w:pPr>
      <w:r>
        <w:tab/>
        <w:t>- распоряжением Администрации ЗАТО Северск от 07.02.2019 № 155-р «О мерах по исполнению бюджета ЗАТО Северск на 2019 год и на плановый период 2020 и 2021 годов»;</w:t>
      </w:r>
    </w:p>
    <w:p>
      <w:pPr>
        <w:pStyle w:val="20"/>
        <w:ind w:firstLine="567"/>
      </w:pPr>
      <w:r>
        <w:t>- планом мероприятий по повышению эффективности использования бюджетных средств, увеличения налоговых и неналоговых доходов и совершенствованию долговой политики бюджета ЗАТО Северск в 2018-2020 годах (утвержден в рамках трехстороннего Соглашения от 13.06.2018 № 01-01-06/06-262).</w:t>
      </w:r>
    </w:p>
    <w:p>
      <w:pPr>
        <w:pStyle w:val="31"/>
        <w:spacing w:before="120"/>
        <w:ind w:right="0" w:firstLine="567"/>
        <w:rPr>
          <w:sz w:val="24"/>
          <w:szCs w:val="24"/>
        </w:rPr>
      </w:pPr>
      <w:r>
        <w:rPr>
          <w:sz w:val="24"/>
          <w:szCs w:val="24"/>
        </w:rPr>
        <w:t>За 2019 год в бюджет ЗАТО Северск поступили доходы в сумме 4 536 469,77</w:t>
      </w:r>
      <w:r>
        <w:rPr>
          <w:sz w:val="24"/>
          <w:szCs w:val="24"/>
          <w:lang w:val="en-US"/>
        </w:rPr>
        <w:t> </w:t>
      </w:r>
      <w:r>
        <w:rPr>
          <w:sz w:val="24"/>
          <w:szCs w:val="24"/>
        </w:rPr>
        <w:t xml:space="preserve">тыс.руб. или 100,1% к годовому прогнозу поступлений; расходы составили 4 604 221,40 тыс.руб. или 99,2% к годовому плану. </w:t>
      </w:r>
    </w:p>
    <w:p>
      <w:pPr>
        <w:pStyle w:val="31"/>
        <w:spacing w:before="120"/>
        <w:ind w:right="0" w:firstLine="567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4618049" cy="2920818"/>
            <wp:effectExtent l="19050" t="0" r="0" b="0"/>
            <wp:docPr id="5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>
      <w:pPr>
        <w:shd w:val="clear" w:color="auto" w:fill="FFFFFF" w:themeFill="background1"/>
        <w:spacing w:after="120"/>
        <w:ind w:right="57"/>
        <w:jc w:val="center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Рисунок 1. Динамика изменения основных параметров бюджета (млн.руб.)</w:t>
      </w:r>
    </w:p>
    <w:p>
      <w:pPr>
        <w:pStyle w:val="31"/>
        <w:spacing w:before="120"/>
        <w:ind w:right="0"/>
        <w:rPr>
          <w:sz w:val="24"/>
          <w:szCs w:val="24"/>
        </w:rPr>
      </w:pPr>
    </w:p>
    <w:p>
      <w:pPr>
        <w:pStyle w:val="31"/>
        <w:spacing w:before="120"/>
        <w:ind w:right="0"/>
        <w:rPr>
          <w:sz w:val="24"/>
          <w:szCs w:val="24"/>
        </w:rPr>
      </w:pPr>
    </w:p>
    <w:p>
      <w:pPr>
        <w:pStyle w:val="31"/>
        <w:ind w:right="0" w:firstLine="567"/>
        <w:rPr>
          <w:spacing w:val="-4"/>
          <w:sz w:val="24"/>
          <w:szCs w:val="24"/>
          <w:highlight w:val="yellow"/>
        </w:rPr>
      </w:pPr>
      <w:r>
        <w:rPr>
          <w:sz w:val="24"/>
          <w:szCs w:val="24"/>
        </w:rPr>
        <w:t xml:space="preserve">Бюджет ЗАТО Северск за 2019 г. исполнен с дефицитом в сумме 67 751,63 тыс.руб. </w:t>
      </w:r>
    </w:p>
    <w:p>
      <w:pPr>
        <w:pStyle w:val="20"/>
        <w:ind w:firstLine="567"/>
        <w:rPr>
          <w:szCs w:val="24"/>
        </w:rPr>
      </w:pPr>
      <w:r>
        <w:rPr>
          <w:spacing w:val="-4"/>
          <w:szCs w:val="24"/>
        </w:rPr>
        <w:t>Для покрытия дефицита и погашения долговых заимствований в 2019 году в результате электронных аукционов осуществлены два заимствования</w:t>
      </w:r>
      <w:r>
        <w:rPr>
          <w:spacing w:val="-1"/>
          <w:szCs w:val="24"/>
        </w:rPr>
        <w:t xml:space="preserve"> у коммерческого банка на общую сумму 202 441,93 тыс.руб.</w:t>
      </w:r>
    </w:p>
    <w:p>
      <w:pPr>
        <w:spacing w:after="12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Муниципальный долг на 01.01.2020 составил 188 441,93 тыс.руб.</w:t>
      </w:r>
    </w:p>
    <w:p>
      <w:pPr>
        <w:pStyle w:val="31"/>
        <w:spacing w:before="120" w:after="60"/>
        <w:ind w:right="0" w:firstLine="567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Таблица 1. Исполнение основных параметров бюджета ЗАТО Северск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01"/>
        <w:gridCol w:w="1701"/>
        <w:gridCol w:w="1560"/>
        <w:gridCol w:w="1559"/>
        <w:gridCol w:w="1417"/>
        <w:gridCol w:w="1406"/>
      </w:tblGrid>
      <w:tr>
        <w:tc>
          <w:tcPr>
            <w:tcW w:w="1701" w:type="dxa"/>
            <w:vAlign w:val="center"/>
          </w:tcPr>
          <w:p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Наименование</w:t>
            </w: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Первоначальный план, тыс.руб.</w:t>
            </w:r>
          </w:p>
        </w:tc>
        <w:tc>
          <w:tcPr>
            <w:tcW w:w="1560" w:type="dxa"/>
            <w:vAlign w:val="center"/>
          </w:tcPr>
          <w:p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Уточненный план, тыс.руб.</w:t>
            </w:r>
          </w:p>
        </w:tc>
        <w:tc>
          <w:tcPr>
            <w:tcW w:w="1559" w:type="dxa"/>
            <w:vAlign w:val="center"/>
          </w:tcPr>
          <w:p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Исполнено, тыс.руб.</w:t>
            </w:r>
          </w:p>
        </w:tc>
        <w:tc>
          <w:tcPr>
            <w:tcW w:w="1417" w:type="dxa"/>
            <w:vAlign w:val="center"/>
          </w:tcPr>
          <w:p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Отклонение, тыс.руб.</w:t>
            </w:r>
          </w:p>
        </w:tc>
        <w:tc>
          <w:tcPr>
            <w:tcW w:w="1406" w:type="dxa"/>
            <w:vAlign w:val="center"/>
          </w:tcPr>
          <w:p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% исполнения</w:t>
            </w:r>
          </w:p>
        </w:tc>
      </w:tr>
      <w:tr>
        <w:tc>
          <w:tcPr>
            <w:tcW w:w="1701" w:type="dxa"/>
          </w:tcPr>
          <w:p>
            <w:pPr>
              <w:jc w:val="both"/>
              <w:rPr>
                <w:spacing w:val="-4"/>
              </w:rPr>
            </w:pPr>
            <w:r>
              <w:rPr>
                <w:spacing w:val="-4"/>
              </w:rPr>
              <w:t>Доходы</w:t>
            </w:r>
          </w:p>
        </w:tc>
        <w:tc>
          <w:tcPr>
            <w:tcW w:w="1701" w:type="dxa"/>
            <w:vAlign w:val="center"/>
          </w:tcPr>
          <w:p>
            <w:pPr>
              <w:jc w:val="right"/>
              <w:rPr>
                <w:spacing w:val="-4"/>
              </w:rPr>
            </w:pPr>
            <w:r>
              <w:t>2 915 178,81</w:t>
            </w:r>
          </w:p>
        </w:tc>
        <w:tc>
          <w:tcPr>
            <w:tcW w:w="1560" w:type="dxa"/>
            <w:vAlign w:val="center"/>
          </w:tcPr>
          <w:p>
            <w:pPr>
              <w:jc w:val="right"/>
              <w:rPr>
                <w:spacing w:val="-4"/>
              </w:rPr>
            </w:pPr>
            <w:r>
              <w:t>4 531 326,52</w:t>
            </w:r>
          </w:p>
        </w:tc>
        <w:tc>
          <w:tcPr>
            <w:tcW w:w="1559" w:type="dxa"/>
            <w:vAlign w:val="center"/>
          </w:tcPr>
          <w:p>
            <w:pPr>
              <w:jc w:val="right"/>
              <w:rPr>
                <w:spacing w:val="-4"/>
              </w:rPr>
            </w:pPr>
            <w:r>
              <w:rPr>
                <w:spacing w:val="-4"/>
              </w:rPr>
              <w:t>4 536 469,77</w:t>
            </w:r>
          </w:p>
        </w:tc>
        <w:tc>
          <w:tcPr>
            <w:tcW w:w="1417" w:type="dxa"/>
            <w:vAlign w:val="center"/>
          </w:tcPr>
          <w:p>
            <w:pPr>
              <w:jc w:val="right"/>
              <w:rPr>
                <w:spacing w:val="-4"/>
              </w:rPr>
            </w:pPr>
            <w:r>
              <w:rPr>
                <w:spacing w:val="-4"/>
              </w:rPr>
              <w:t>5 143,25</w:t>
            </w:r>
          </w:p>
        </w:tc>
        <w:tc>
          <w:tcPr>
            <w:tcW w:w="1406" w:type="dxa"/>
            <w:vAlign w:val="center"/>
          </w:tcPr>
          <w:p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100,1</w:t>
            </w:r>
          </w:p>
        </w:tc>
      </w:tr>
      <w:tr>
        <w:tc>
          <w:tcPr>
            <w:tcW w:w="1701" w:type="dxa"/>
          </w:tcPr>
          <w:p>
            <w:pPr>
              <w:rPr>
                <w:spacing w:val="-4"/>
              </w:rPr>
            </w:pPr>
            <w:r>
              <w:rPr>
                <w:spacing w:val="-4"/>
              </w:rPr>
              <w:t>в т.ч. налоговые и неналоговые</w:t>
            </w:r>
          </w:p>
        </w:tc>
        <w:tc>
          <w:tcPr>
            <w:tcW w:w="1701" w:type="dxa"/>
            <w:vAlign w:val="center"/>
          </w:tcPr>
          <w:p>
            <w:pPr>
              <w:jc w:val="right"/>
              <w:rPr>
                <w:spacing w:val="-4"/>
              </w:rPr>
            </w:pPr>
            <w:r>
              <w:t>1 066 780,31</w:t>
            </w:r>
          </w:p>
        </w:tc>
        <w:tc>
          <w:tcPr>
            <w:tcW w:w="1560" w:type="dxa"/>
            <w:vAlign w:val="center"/>
          </w:tcPr>
          <w:p>
            <w:pPr>
              <w:jc w:val="right"/>
              <w:rPr>
                <w:spacing w:val="-4"/>
              </w:rPr>
            </w:pPr>
            <w:r>
              <w:t>1 113 620,20</w:t>
            </w:r>
          </w:p>
        </w:tc>
        <w:tc>
          <w:tcPr>
            <w:tcW w:w="1559" w:type="dxa"/>
            <w:vAlign w:val="center"/>
          </w:tcPr>
          <w:p>
            <w:pPr>
              <w:jc w:val="right"/>
              <w:rPr>
                <w:spacing w:val="-4"/>
              </w:rPr>
            </w:pPr>
            <w:r>
              <w:rPr>
                <w:spacing w:val="-4"/>
              </w:rPr>
              <w:t>1 131 056,62</w:t>
            </w:r>
          </w:p>
        </w:tc>
        <w:tc>
          <w:tcPr>
            <w:tcW w:w="1417" w:type="dxa"/>
            <w:vAlign w:val="center"/>
          </w:tcPr>
          <w:p>
            <w:pPr>
              <w:jc w:val="right"/>
              <w:rPr>
                <w:spacing w:val="-4"/>
              </w:rPr>
            </w:pPr>
            <w:r>
              <w:rPr>
                <w:spacing w:val="-4"/>
              </w:rPr>
              <w:t>17 436,42</w:t>
            </w:r>
          </w:p>
        </w:tc>
        <w:tc>
          <w:tcPr>
            <w:tcW w:w="1406" w:type="dxa"/>
            <w:vAlign w:val="center"/>
          </w:tcPr>
          <w:p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101,6</w:t>
            </w:r>
          </w:p>
        </w:tc>
      </w:tr>
      <w:tr>
        <w:tc>
          <w:tcPr>
            <w:tcW w:w="1701" w:type="dxa"/>
            <w:shd w:val="clear" w:color="auto" w:fill="auto"/>
          </w:tcPr>
          <w:p>
            <w:pPr>
              <w:rPr>
                <w:spacing w:val="-4"/>
              </w:rPr>
            </w:pPr>
            <w:r>
              <w:rPr>
                <w:spacing w:val="-4"/>
              </w:rPr>
              <w:t>Безвозмездные поступления</w:t>
            </w: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jc w:val="right"/>
              <w:rPr>
                <w:spacing w:val="-4"/>
              </w:rPr>
            </w:pPr>
            <w:r>
              <w:rPr>
                <w:spacing w:val="-4"/>
              </w:rPr>
              <w:t>1 848 398,50</w:t>
            </w:r>
          </w:p>
        </w:tc>
        <w:tc>
          <w:tcPr>
            <w:tcW w:w="1560" w:type="dxa"/>
            <w:shd w:val="clear" w:color="auto" w:fill="auto"/>
            <w:vAlign w:val="center"/>
          </w:tcPr>
          <w:p>
            <w:pPr>
              <w:jc w:val="right"/>
              <w:rPr>
                <w:spacing w:val="-4"/>
              </w:rPr>
            </w:pPr>
            <w:r>
              <w:rPr>
                <w:spacing w:val="-4"/>
              </w:rPr>
              <w:t>3 417 706,32</w:t>
            </w:r>
          </w:p>
        </w:tc>
        <w:tc>
          <w:tcPr>
            <w:tcW w:w="1559" w:type="dxa"/>
            <w:shd w:val="clear" w:color="auto" w:fill="auto"/>
            <w:vAlign w:val="center"/>
          </w:tcPr>
          <w:p>
            <w:pPr>
              <w:jc w:val="right"/>
              <w:rPr>
                <w:spacing w:val="-4"/>
              </w:rPr>
            </w:pPr>
            <w:r>
              <w:rPr>
                <w:spacing w:val="-4"/>
              </w:rPr>
              <w:t>3 405 413,15</w:t>
            </w:r>
          </w:p>
        </w:tc>
        <w:tc>
          <w:tcPr>
            <w:tcW w:w="1417" w:type="dxa"/>
            <w:shd w:val="clear" w:color="auto" w:fill="auto"/>
            <w:vAlign w:val="center"/>
          </w:tcPr>
          <w:p>
            <w:pPr>
              <w:jc w:val="right"/>
              <w:rPr>
                <w:spacing w:val="-4"/>
              </w:rPr>
            </w:pPr>
            <w:r>
              <w:rPr>
                <w:spacing w:val="-4"/>
              </w:rPr>
              <w:t>-12 293,17</w:t>
            </w:r>
          </w:p>
        </w:tc>
        <w:tc>
          <w:tcPr>
            <w:tcW w:w="1406" w:type="dxa"/>
            <w:shd w:val="clear" w:color="auto" w:fill="auto"/>
            <w:vAlign w:val="center"/>
          </w:tcPr>
          <w:p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99,6</w:t>
            </w:r>
          </w:p>
        </w:tc>
      </w:tr>
      <w:tr>
        <w:tc>
          <w:tcPr>
            <w:tcW w:w="1701" w:type="dxa"/>
            <w:shd w:val="clear" w:color="auto" w:fill="auto"/>
          </w:tcPr>
          <w:p>
            <w:pPr>
              <w:rPr>
                <w:spacing w:val="-4"/>
              </w:rPr>
            </w:pPr>
            <w:r>
              <w:rPr>
                <w:spacing w:val="-4"/>
              </w:rPr>
              <w:t>Расходы</w:t>
            </w: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jc w:val="right"/>
              <w:rPr>
                <w:spacing w:val="-4"/>
              </w:rPr>
            </w:pPr>
            <w:r>
              <w:t>2 957 344,32</w:t>
            </w:r>
          </w:p>
        </w:tc>
        <w:tc>
          <w:tcPr>
            <w:tcW w:w="1560" w:type="dxa"/>
            <w:shd w:val="clear" w:color="auto" w:fill="auto"/>
            <w:vAlign w:val="center"/>
          </w:tcPr>
          <w:p>
            <w:pPr>
              <w:jc w:val="right"/>
              <w:rPr>
                <w:spacing w:val="-4"/>
              </w:rPr>
            </w:pPr>
            <w:r>
              <w:t>4 643 398,93</w:t>
            </w:r>
          </w:p>
        </w:tc>
        <w:tc>
          <w:tcPr>
            <w:tcW w:w="1559" w:type="dxa"/>
            <w:shd w:val="clear" w:color="auto" w:fill="auto"/>
            <w:vAlign w:val="center"/>
          </w:tcPr>
          <w:p>
            <w:pPr>
              <w:jc w:val="right"/>
              <w:rPr>
                <w:spacing w:val="-4"/>
              </w:rPr>
            </w:pPr>
            <w:r>
              <w:t>4 604 221,40</w:t>
            </w:r>
          </w:p>
        </w:tc>
        <w:tc>
          <w:tcPr>
            <w:tcW w:w="1417" w:type="dxa"/>
            <w:shd w:val="clear" w:color="auto" w:fill="auto"/>
            <w:vAlign w:val="center"/>
          </w:tcPr>
          <w:p>
            <w:pPr>
              <w:jc w:val="right"/>
              <w:rPr>
                <w:spacing w:val="-4"/>
              </w:rPr>
            </w:pPr>
            <w:r>
              <w:rPr>
                <w:spacing w:val="-4"/>
              </w:rPr>
              <w:t>- 39 177,53</w:t>
            </w:r>
          </w:p>
        </w:tc>
        <w:tc>
          <w:tcPr>
            <w:tcW w:w="1406" w:type="dxa"/>
            <w:shd w:val="clear" w:color="auto" w:fill="auto"/>
            <w:vAlign w:val="center"/>
          </w:tcPr>
          <w:p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99,2</w:t>
            </w:r>
          </w:p>
        </w:tc>
      </w:tr>
      <w:tr>
        <w:tc>
          <w:tcPr>
            <w:tcW w:w="1701" w:type="dxa"/>
            <w:shd w:val="clear" w:color="auto" w:fill="auto"/>
          </w:tcPr>
          <w:p>
            <w:pPr>
              <w:rPr>
                <w:spacing w:val="-4"/>
              </w:rPr>
            </w:pPr>
            <w:r>
              <w:rPr>
                <w:spacing w:val="-4"/>
              </w:rPr>
              <w:t>Дефицит (-), профицит (+)</w:t>
            </w: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jc w:val="right"/>
              <w:rPr>
                <w:spacing w:val="-4"/>
              </w:rPr>
            </w:pPr>
            <w:r>
              <w:rPr>
                <w:spacing w:val="-4"/>
              </w:rPr>
              <w:t>-42 165,51</w:t>
            </w:r>
          </w:p>
        </w:tc>
        <w:tc>
          <w:tcPr>
            <w:tcW w:w="1560" w:type="dxa"/>
            <w:shd w:val="clear" w:color="auto" w:fill="auto"/>
            <w:vAlign w:val="center"/>
          </w:tcPr>
          <w:p>
            <w:pPr>
              <w:jc w:val="right"/>
              <w:rPr>
                <w:spacing w:val="-4"/>
              </w:rPr>
            </w:pPr>
            <w:r>
              <w:t>-112 072,41</w:t>
            </w:r>
          </w:p>
        </w:tc>
        <w:tc>
          <w:tcPr>
            <w:tcW w:w="1559" w:type="dxa"/>
            <w:shd w:val="clear" w:color="auto" w:fill="auto"/>
            <w:vAlign w:val="center"/>
          </w:tcPr>
          <w:p>
            <w:pPr>
              <w:jc w:val="right"/>
              <w:rPr>
                <w:spacing w:val="-4"/>
              </w:rPr>
            </w:pPr>
            <w:r>
              <w:t>- 67 751,63</w:t>
            </w:r>
          </w:p>
        </w:tc>
        <w:tc>
          <w:tcPr>
            <w:tcW w:w="1417" w:type="dxa"/>
            <w:shd w:val="clear" w:color="auto" w:fill="auto"/>
            <w:vAlign w:val="center"/>
          </w:tcPr>
          <w:p>
            <w:pPr>
              <w:jc w:val="right"/>
              <w:rPr>
                <w:spacing w:val="-4"/>
              </w:rPr>
            </w:pPr>
            <w:r>
              <w:rPr>
                <w:spacing w:val="-4"/>
              </w:rPr>
              <w:t>+ 44 320,78</w:t>
            </w:r>
          </w:p>
        </w:tc>
        <w:tc>
          <w:tcPr>
            <w:tcW w:w="1406" w:type="dxa"/>
            <w:shd w:val="clear" w:color="auto" w:fill="auto"/>
            <w:vAlign w:val="center"/>
          </w:tcPr>
          <w:p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60,5</w:t>
            </w:r>
          </w:p>
        </w:tc>
      </w:tr>
    </w:tbl>
    <w:p>
      <w:pPr>
        <w:pStyle w:val="20"/>
        <w:rPr>
          <w:sz w:val="16"/>
          <w:szCs w:val="16"/>
        </w:rPr>
      </w:pPr>
    </w:p>
    <w:p>
      <w:pPr>
        <w:jc w:val="both"/>
        <w:rPr>
          <w:sz w:val="24"/>
          <w:szCs w:val="24"/>
          <w:shd w:val="clear" w:color="auto" w:fill="FFFFFF" w:themeFill="background1"/>
        </w:rPr>
      </w:pPr>
    </w:p>
    <w:p>
      <w:pPr>
        <w:pStyle w:val="af8"/>
        <w:numPr>
          <w:ilvl w:val="1"/>
          <w:numId w:val="41"/>
        </w:numPr>
        <w:jc w:val="center"/>
        <w:rPr>
          <w:b/>
          <w:sz w:val="24"/>
          <w:szCs w:val="24"/>
          <w:shd w:val="clear" w:color="auto" w:fill="FFFFFF" w:themeFill="background1"/>
        </w:rPr>
      </w:pPr>
      <w:r>
        <w:rPr>
          <w:b/>
          <w:sz w:val="24"/>
          <w:szCs w:val="24"/>
          <w:shd w:val="clear" w:color="auto" w:fill="FFFFFF" w:themeFill="background1"/>
        </w:rPr>
        <w:t>Консолидация в бюджет Томской области</w:t>
      </w:r>
    </w:p>
    <w:p>
      <w:pPr>
        <w:pStyle w:val="af8"/>
        <w:ind w:left="1068"/>
        <w:rPr>
          <w:b/>
          <w:sz w:val="10"/>
          <w:szCs w:val="10"/>
          <w:shd w:val="clear" w:color="auto" w:fill="FFFFFF" w:themeFill="background1"/>
        </w:rPr>
      </w:pP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  <w:shd w:val="clear" w:color="auto" w:fill="FFFFFF" w:themeFill="background1"/>
        </w:rPr>
        <w:t>Доля бюджета ЗАТО Северск в консолидированных доходах Томской области составляет 5,7%, в консолидированных расходах Томской области – 5,5%.</w:t>
      </w:r>
      <w:r>
        <w:rPr>
          <w:sz w:val="24"/>
          <w:szCs w:val="24"/>
        </w:rPr>
        <w:t xml:space="preserve"> </w:t>
      </w:r>
    </w:p>
    <w:p>
      <w:pPr>
        <w:ind w:firstLine="708"/>
        <w:jc w:val="both"/>
        <w:rPr>
          <w:spacing w:val="-4"/>
          <w:sz w:val="24"/>
          <w:szCs w:val="24"/>
        </w:rPr>
      </w:pPr>
      <w:r>
        <w:rPr>
          <w:sz w:val="24"/>
          <w:szCs w:val="24"/>
        </w:rPr>
        <w:t>Доходная часть консолидированного бюджета Томской области исполнена на 97,9%, по бюджету ЗАТО Северск доходы исполнены на 100,1%</w:t>
      </w:r>
      <w:r>
        <w:rPr>
          <w:spacing w:val="-4"/>
          <w:sz w:val="24"/>
          <w:szCs w:val="24"/>
        </w:rPr>
        <w:t>. По сравнению с 2018 годом изменения доли бюджета ЗАТО Северск в консолидированных доходах областного бюджета не произошло.</w:t>
      </w:r>
    </w:p>
    <w:p>
      <w:pPr>
        <w:ind w:firstLine="708"/>
        <w:jc w:val="both"/>
        <w:rPr>
          <w:spacing w:val="-4"/>
          <w:sz w:val="24"/>
          <w:szCs w:val="24"/>
        </w:rPr>
      </w:pPr>
      <w:r>
        <w:rPr>
          <w:sz w:val="24"/>
          <w:szCs w:val="24"/>
        </w:rPr>
        <w:t>Расходная часть консолидированного бюджета Томской области исполнена на 96,1%, по бюджету ЗАТО Северск - на 99,2%</w:t>
      </w:r>
      <w:r>
        <w:rPr>
          <w:spacing w:val="-4"/>
          <w:sz w:val="24"/>
          <w:szCs w:val="24"/>
        </w:rPr>
        <w:t>. По сравнению с 2018 годом произошло сокращение доли бюджета ЗАТО Северск в консолидированных расходах областного бюджета с 5,7% в 2018 году до 5,5% в 2019 году.</w:t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Сравнительный анализ исполнения консолидированного бюджета Томской области, бюджетов городских округов и бюджета ЗАТО Северск приведен в таблице 2. </w:t>
      </w:r>
    </w:p>
    <w:p>
      <w:pPr>
        <w:tabs>
          <w:tab w:val="left" w:pos="709"/>
        </w:tabs>
        <w:spacing w:before="120" w:after="60"/>
        <w:jc w:val="both"/>
        <w:rPr>
          <w:sz w:val="24"/>
          <w:szCs w:val="24"/>
        </w:rPr>
      </w:pPr>
      <w:r>
        <w:rPr>
          <w:sz w:val="24"/>
          <w:szCs w:val="24"/>
        </w:rPr>
        <w:tab/>
        <w:t>Таблица 2. Исполнение доходной и расходной частей консолидированного бюджета Томской области за 2019 год</w:t>
      </w:r>
    </w:p>
    <w:tbl>
      <w:tblPr>
        <w:tblStyle w:val="af7"/>
        <w:tblW w:w="9463" w:type="dxa"/>
        <w:tblInd w:w="108" w:type="dxa"/>
        <w:tblLayout w:type="fixed"/>
        <w:tblLook w:val="04A0"/>
      </w:tblPr>
      <w:tblGrid>
        <w:gridCol w:w="1985"/>
        <w:gridCol w:w="1134"/>
        <w:gridCol w:w="1276"/>
        <w:gridCol w:w="1134"/>
        <w:gridCol w:w="992"/>
        <w:gridCol w:w="1134"/>
        <w:gridCol w:w="846"/>
        <w:gridCol w:w="962"/>
      </w:tblGrid>
      <w:tr>
        <w:trPr>
          <w:cantSplit/>
          <w:trHeight w:val="1240"/>
        </w:trPr>
        <w:tc>
          <w:tcPr>
            <w:tcW w:w="1985" w:type="dxa"/>
          </w:tcPr>
          <w:p>
            <w:pPr>
              <w:tabs>
                <w:tab w:val="left" w:pos="284"/>
              </w:tabs>
              <w:jc w:val="center"/>
            </w:pPr>
            <w:r>
              <w:t>Показатели</w:t>
            </w:r>
          </w:p>
        </w:tc>
        <w:tc>
          <w:tcPr>
            <w:tcW w:w="1134" w:type="dxa"/>
          </w:tcPr>
          <w:p>
            <w:pPr>
              <w:tabs>
                <w:tab w:val="left" w:pos="284"/>
              </w:tabs>
              <w:jc w:val="center"/>
            </w:pPr>
            <w:r>
              <w:t>1. Бюджет Томской области, всего</w:t>
            </w:r>
          </w:p>
        </w:tc>
        <w:tc>
          <w:tcPr>
            <w:tcW w:w="1276" w:type="dxa"/>
          </w:tcPr>
          <w:p>
            <w:pPr>
              <w:tabs>
                <w:tab w:val="left" w:pos="284"/>
              </w:tabs>
              <w:ind w:left="-108" w:firstLine="108"/>
              <w:jc w:val="center"/>
            </w:pPr>
            <w:r>
              <w:t>2.Мун. образования, всего</w:t>
            </w:r>
          </w:p>
        </w:tc>
        <w:tc>
          <w:tcPr>
            <w:tcW w:w="1134" w:type="dxa"/>
          </w:tcPr>
          <w:p>
            <w:pPr>
              <w:tabs>
                <w:tab w:val="left" w:pos="284"/>
              </w:tabs>
              <w:jc w:val="center"/>
            </w:pPr>
            <w:r>
              <w:t>3. </w:t>
            </w:r>
            <w:proofErr w:type="spellStart"/>
            <w:proofErr w:type="gramStart"/>
            <w:r>
              <w:t>Городс-кие</w:t>
            </w:r>
            <w:proofErr w:type="spellEnd"/>
            <w:proofErr w:type="gramEnd"/>
            <w:r>
              <w:t xml:space="preserve"> округа, всего</w:t>
            </w:r>
          </w:p>
        </w:tc>
        <w:tc>
          <w:tcPr>
            <w:tcW w:w="992" w:type="dxa"/>
            <w:textDirection w:val="btLr"/>
            <w:vAlign w:val="center"/>
          </w:tcPr>
          <w:p>
            <w:pPr>
              <w:tabs>
                <w:tab w:val="left" w:pos="284"/>
              </w:tabs>
              <w:ind w:left="113" w:right="113"/>
              <w:jc w:val="center"/>
            </w:pPr>
            <w:r>
              <w:t>3.1. Томск</w:t>
            </w:r>
          </w:p>
        </w:tc>
        <w:tc>
          <w:tcPr>
            <w:tcW w:w="1134" w:type="dxa"/>
            <w:textDirection w:val="btLr"/>
            <w:vAlign w:val="center"/>
          </w:tcPr>
          <w:p>
            <w:pPr>
              <w:tabs>
                <w:tab w:val="left" w:pos="284"/>
              </w:tabs>
              <w:ind w:left="113" w:right="113"/>
              <w:jc w:val="center"/>
            </w:pPr>
            <w:r>
              <w:t>3.2. Стрежевой</w:t>
            </w:r>
          </w:p>
        </w:tc>
        <w:tc>
          <w:tcPr>
            <w:tcW w:w="846" w:type="dxa"/>
            <w:textDirection w:val="btLr"/>
            <w:vAlign w:val="center"/>
          </w:tcPr>
          <w:p>
            <w:pPr>
              <w:ind w:left="113" w:right="113"/>
              <w:jc w:val="center"/>
            </w:pPr>
            <w:r>
              <w:t>3.3. Кедровый</w:t>
            </w:r>
          </w:p>
        </w:tc>
        <w:tc>
          <w:tcPr>
            <w:tcW w:w="962" w:type="dxa"/>
            <w:textDirection w:val="btLr"/>
            <w:vAlign w:val="center"/>
          </w:tcPr>
          <w:p>
            <w:pPr>
              <w:ind w:left="113" w:right="113"/>
              <w:jc w:val="center"/>
            </w:pPr>
            <w:r>
              <w:rPr>
                <w:b/>
              </w:rPr>
              <w:t>3.4. ЗАТО Северск</w:t>
            </w:r>
          </w:p>
        </w:tc>
      </w:tr>
      <w:tr>
        <w:tc>
          <w:tcPr>
            <w:tcW w:w="9463" w:type="dxa"/>
            <w:gridSpan w:val="8"/>
          </w:tcPr>
          <w:p>
            <w:pPr>
              <w:tabs>
                <w:tab w:val="left" w:pos="284"/>
              </w:tabs>
              <w:jc w:val="center"/>
              <w:rPr>
                <w:b/>
              </w:rPr>
            </w:pPr>
            <w:r>
              <w:rPr>
                <w:b/>
              </w:rPr>
              <w:t>Доходы</w:t>
            </w:r>
          </w:p>
        </w:tc>
      </w:tr>
      <w:tr>
        <w:tc>
          <w:tcPr>
            <w:tcW w:w="1985" w:type="dxa"/>
          </w:tcPr>
          <w:p>
            <w:r>
              <w:t>Факт 2018, млн.руб.</w:t>
            </w:r>
          </w:p>
        </w:tc>
        <w:tc>
          <w:tcPr>
            <w:tcW w:w="1134" w:type="dxa"/>
            <w:vAlign w:val="center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74 231,20</w:t>
            </w:r>
          </w:p>
        </w:tc>
        <w:tc>
          <w:tcPr>
            <w:tcW w:w="1276" w:type="dxa"/>
            <w:vAlign w:val="center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 w:themeColor="text1"/>
              </w:rPr>
              <w:t>38 392,87</w:t>
            </w:r>
          </w:p>
        </w:tc>
        <w:tc>
          <w:tcPr>
            <w:tcW w:w="1134" w:type="dxa"/>
            <w:vAlign w:val="center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 w:themeColor="text1"/>
              </w:rPr>
              <w:t>22 852,88</w:t>
            </w:r>
          </w:p>
        </w:tc>
        <w:tc>
          <w:tcPr>
            <w:tcW w:w="992" w:type="dxa"/>
            <w:vAlign w:val="center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 w:themeColor="text1"/>
                <w:spacing w:val="-4"/>
              </w:rPr>
              <w:t>16 399,66</w:t>
            </w:r>
          </w:p>
        </w:tc>
        <w:tc>
          <w:tcPr>
            <w:tcW w:w="1134" w:type="dxa"/>
            <w:vAlign w:val="center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 w:themeColor="text1"/>
                <w:spacing w:val="-4"/>
              </w:rPr>
              <w:t>2 017,61</w:t>
            </w:r>
          </w:p>
        </w:tc>
        <w:tc>
          <w:tcPr>
            <w:tcW w:w="846" w:type="dxa"/>
            <w:vAlign w:val="center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 w:themeColor="text1"/>
                <w:spacing w:val="-4"/>
              </w:rPr>
              <w:t>185,48</w:t>
            </w:r>
          </w:p>
        </w:tc>
        <w:tc>
          <w:tcPr>
            <w:tcW w:w="962" w:type="dxa"/>
            <w:vAlign w:val="center"/>
          </w:tcPr>
          <w:p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 w:themeColor="text1"/>
              </w:rPr>
              <w:t>4 250,12</w:t>
            </w:r>
          </w:p>
        </w:tc>
      </w:tr>
      <w:tr>
        <w:tc>
          <w:tcPr>
            <w:tcW w:w="1985" w:type="dxa"/>
          </w:tcPr>
          <w:p>
            <w:pPr>
              <w:tabs>
                <w:tab w:val="left" w:pos="284"/>
              </w:tabs>
              <w:jc w:val="both"/>
            </w:pPr>
            <w:r>
              <w:t>Темп роста 2018 к 2017,%</w:t>
            </w:r>
          </w:p>
        </w:tc>
        <w:tc>
          <w:tcPr>
            <w:tcW w:w="1134" w:type="dxa"/>
            <w:vAlign w:val="center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114,0</w:t>
            </w:r>
          </w:p>
        </w:tc>
        <w:tc>
          <w:tcPr>
            <w:tcW w:w="1276" w:type="dxa"/>
            <w:vAlign w:val="center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109,3</w:t>
            </w:r>
          </w:p>
        </w:tc>
        <w:tc>
          <w:tcPr>
            <w:tcW w:w="1134" w:type="dxa"/>
            <w:vAlign w:val="center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106,7</w:t>
            </w:r>
          </w:p>
        </w:tc>
        <w:tc>
          <w:tcPr>
            <w:tcW w:w="992" w:type="dxa"/>
            <w:vAlign w:val="center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110,1</w:t>
            </w:r>
          </w:p>
        </w:tc>
        <w:tc>
          <w:tcPr>
            <w:tcW w:w="1134" w:type="dxa"/>
            <w:vAlign w:val="center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86,9</w:t>
            </w:r>
          </w:p>
        </w:tc>
        <w:tc>
          <w:tcPr>
            <w:tcW w:w="846" w:type="dxa"/>
            <w:vAlign w:val="center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110,8</w:t>
            </w:r>
          </w:p>
        </w:tc>
        <w:tc>
          <w:tcPr>
            <w:tcW w:w="962" w:type="dxa"/>
            <w:vAlign w:val="center"/>
          </w:tcPr>
          <w:p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105,2</w:t>
            </w:r>
          </w:p>
        </w:tc>
      </w:tr>
      <w:tr>
        <w:tc>
          <w:tcPr>
            <w:tcW w:w="1985" w:type="dxa"/>
          </w:tcPr>
          <w:p>
            <w:r>
              <w:t>Факт 2019, млн.руб.</w:t>
            </w:r>
          </w:p>
        </w:tc>
        <w:tc>
          <w:tcPr>
            <w:tcW w:w="1134" w:type="dxa"/>
            <w:vAlign w:val="center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79 919,24</w:t>
            </w:r>
          </w:p>
        </w:tc>
        <w:tc>
          <w:tcPr>
            <w:tcW w:w="1276" w:type="dxa"/>
            <w:vAlign w:val="center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 w:themeColor="text1"/>
              </w:rPr>
              <w:t>43 183,52</w:t>
            </w:r>
          </w:p>
        </w:tc>
        <w:tc>
          <w:tcPr>
            <w:tcW w:w="1134" w:type="dxa"/>
            <w:vAlign w:val="center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 w:themeColor="text1"/>
              </w:rPr>
              <w:t>25 303,04</w:t>
            </w:r>
          </w:p>
        </w:tc>
        <w:tc>
          <w:tcPr>
            <w:tcW w:w="992" w:type="dxa"/>
            <w:vAlign w:val="center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 w:themeColor="text1"/>
                <w:spacing w:val="-4"/>
              </w:rPr>
              <w:t>18 413,79</w:t>
            </w:r>
          </w:p>
        </w:tc>
        <w:tc>
          <w:tcPr>
            <w:tcW w:w="1134" w:type="dxa"/>
            <w:vAlign w:val="center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 w:themeColor="text1"/>
                <w:spacing w:val="-4"/>
              </w:rPr>
              <w:t>2 136,92</w:t>
            </w:r>
          </w:p>
        </w:tc>
        <w:tc>
          <w:tcPr>
            <w:tcW w:w="846" w:type="dxa"/>
            <w:vAlign w:val="center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 w:themeColor="text1"/>
                <w:spacing w:val="-4"/>
              </w:rPr>
              <w:t>215,85</w:t>
            </w:r>
          </w:p>
        </w:tc>
        <w:tc>
          <w:tcPr>
            <w:tcW w:w="962" w:type="dxa"/>
            <w:vAlign w:val="center"/>
          </w:tcPr>
          <w:p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 w:themeColor="text1"/>
              </w:rPr>
              <w:t>4 536,47</w:t>
            </w:r>
          </w:p>
        </w:tc>
      </w:tr>
      <w:tr>
        <w:tc>
          <w:tcPr>
            <w:tcW w:w="1985" w:type="dxa"/>
          </w:tcPr>
          <w:p>
            <w:pPr>
              <w:tabs>
                <w:tab w:val="left" w:pos="284"/>
              </w:tabs>
              <w:jc w:val="both"/>
            </w:pPr>
            <w:r>
              <w:t>Темп роста 2019 к 2018,%</w:t>
            </w:r>
          </w:p>
        </w:tc>
        <w:tc>
          <w:tcPr>
            <w:tcW w:w="1134" w:type="dxa"/>
            <w:vAlign w:val="center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107,7</w:t>
            </w:r>
          </w:p>
        </w:tc>
        <w:tc>
          <w:tcPr>
            <w:tcW w:w="1276" w:type="dxa"/>
            <w:vAlign w:val="center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112,5</w:t>
            </w:r>
          </w:p>
        </w:tc>
        <w:tc>
          <w:tcPr>
            <w:tcW w:w="1134" w:type="dxa"/>
            <w:vAlign w:val="center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110,7</w:t>
            </w:r>
          </w:p>
        </w:tc>
        <w:tc>
          <w:tcPr>
            <w:tcW w:w="992" w:type="dxa"/>
            <w:vAlign w:val="center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112,3</w:t>
            </w:r>
          </w:p>
        </w:tc>
        <w:tc>
          <w:tcPr>
            <w:tcW w:w="1134" w:type="dxa"/>
            <w:vAlign w:val="center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105,9</w:t>
            </w:r>
          </w:p>
        </w:tc>
        <w:tc>
          <w:tcPr>
            <w:tcW w:w="846" w:type="dxa"/>
            <w:vAlign w:val="center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116,4</w:t>
            </w:r>
          </w:p>
        </w:tc>
        <w:tc>
          <w:tcPr>
            <w:tcW w:w="962" w:type="dxa"/>
            <w:vAlign w:val="center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106,7</w:t>
            </w:r>
          </w:p>
        </w:tc>
      </w:tr>
      <w:tr>
        <w:tc>
          <w:tcPr>
            <w:tcW w:w="9463" w:type="dxa"/>
            <w:gridSpan w:val="8"/>
          </w:tcPr>
          <w:p>
            <w:pPr>
              <w:tabs>
                <w:tab w:val="left" w:pos="284"/>
              </w:tabs>
              <w:ind w:left="-108"/>
              <w:jc w:val="center"/>
              <w:rPr>
                <w:b/>
                <w:highlight w:val="yellow"/>
              </w:rPr>
            </w:pPr>
            <w:r>
              <w:rPr>
                <w:b/>
              </w:rPr>
              <w:t>Расходы</w:t>
            </w:r>
          </w:p>
        </w:tc>
      </w:tr>
      <w:tr>
        <w:tc>
          <w:tcPr>
            <w:tcW w:w="1985" w:type="dxa"/>
          </w:tcPr>
          <w:p>
            <w:r>
              <w:t>Факт 2018, млн.руб.</w:t>
            </w:r>
          </w:p>
        </w:tc>
        <w:tc>
          <w:tcPr>
            <w:tcW w:w="1134" w:type="dxa"/>
            <w:vAlign w:val="center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74 656,94</w:t>
            </w:r>
          </w:p>
        </w:tc>
        <w:tc>
          <w:tcPr>
            <w:tcW w:w="1276" w:type="dxa"/>
            <w:vAlign w:val="center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38 119,55</w:t>
            </w:r>
          </w:p>
        </w:tc>
        <w:tc>
          <w:tcPr>
            <w:tcW w:w="1134" w:type="dxa"/>
            <w:vAlign w:val="center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22 713,15</w:t>
            </w:r>
          </w:p>
        </w:tc>
        <w:tc>
          <w:tcPr>
            <w:tcW w:w="992" w:type="dxa"/>
            <w:vAlign w:val="center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/>
                <w:spacing w:val="-4"/>
              </w:rPr>
              <w:t>16 293,67</w:t>
            </w:r>
          </w:p>
        </w:tc>
        <w:tc>
          <w:tcPr>
            <w:tcW w:w="1134" w:type="dxa"/>
            <w:vAlign w:val="center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/>
                <w:spacing w:val="-4"/>
              </w:rPr>
              <w:t>1 971,81</w:t>
            </w:r>
          </w:p>
        </w:tc>
        <w:tc>
          <w:tcPr>
            <w:tcW w:w="846" w:type="dxa"/>
            <w:vAlign w:val="center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/>
                <w:spacing w:val="-4"/>
              </w:rPr>
              <w:t>181,22</w:t>
            </w:r>
          </w:p>
        </w:tc>
        <w:tc>
          <w:tcPr>
            <w:tcW w:w="962" w:type="dxa"/>
            <w:vAlign w:val="center"/>
          </w:tcPr>
          <w:p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4 266,43</w:t>
            </w:r>
          </w:p>
        </w:tc>
      </w:tr>
      <w:tr>
        <w:tc>
          <w:tcPr>
            <w:tcW w:w="1985" w:type="dxa"/>
          </w:tcPr>
          <w:p>
            <w:pPr>
              <w:tabs>
                <w:tab w:val="left" w:pos="284"/>
              </w:tabs>
              <w:jc w:val="both"/>
            </w:pPr>
            <w:r>
              <w:t>Темп роста 2018 к 2017,%</w:t>
            </w:r>
          </w:p>
        </w:tc>
        <w:tc>
          <w:tcPr>
            <w:tcW w:w="1134" w:type="dxa"/>
            <w:vAlign w:val="center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105,0</w:t>
            </w:r>
          </w:p>
        </w:tc>
        <w:tc>
          <w:tcPr>
            <w:tcW w:w="1276" w:type="dxa"/>
            <w:vAlign w:val="center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107,4</w:t>
            </w:r>
          </w:p>
        </w:tc>
        <w:tc>
          <w:tcPr>
            <w:tcW w:w="1134" w:type="dxa"/>
            <w:vAlign w:val="center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106,1</w:t>
            </w:r>
          </w:p>
        </w:tc>
        <w:tc>
          <w:tcPr>
            <w:tcW w:w="992" w:type="dxa"/>
            <w:vAlign w:val="center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110,1</w:t>
            </w:r>
          </w:p>
        </w:tc>
        <w:tc>
          <w:tcPr>
            <w:tcW w:w="1134" w:type="dxa"/>
            <w:vAlign w:val="center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83,5</w:t>
            </w:r>
          </w:p>
        </w:tc>
        <w:tc>
          <w:tcPr>
            <w:tcW w:w="846" w:type="dxa"/>
            <w:vAlign w:val="center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110,9</w:t>
            </w:r>
          </w:p>
        </w:tc>
        <w:tc>
          <w:tcPr>
            <w:tcW w:w="962" w:type="dxa"/>
            <w:vAlign w:val="center"/>
          </w:tcPr>
          <w:p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104,6</w:t>
            </w:r>
          </w:p>
        </w:tc>
      </w:tr>
      <w:tr>
        <w:tc>
          <w:tcPr>
            <w:tcW w:w="1985" w:type="dxa"/>
          </w:tcPr>
          <w:p>
            <w:r>
              <w:t>Факт 2019, млн.руб.</w:t>
            </w:r>
          </w:p>
        </w:tc>
        <w:tc>
          <w:tcPr>
            <w:tcW w:w="1134" w:type="dxa"/>
            <w:vAlign w:val="center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83 406,47</w:t>
            </w:r>
          </w:p>
        </w:tc>
        <w:tc>
          <w:tcPr>
            <w:tcW w:w="1276" w:type="dxa"/>
            <w:vAlign w:val="center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43 262,93</w:t>
            </w:r>
          </w:p>
        </w:tc>
        <w:tc>
          <w:tcPr>
            <w:tcW w:w="1134" w:type="dxa"/>
            <w:vAlign w:val="center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25 492,58</w:t>
            </w:r>
          </w:p>
        </w:tc>
        <w:tc>
          <w:tcPr>
            <w:tcW w:w="992" w:type="dxa"/>
            <w:vAlign w:val="center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/>
                <w:spacing w:val="-4"/>
              </w:rPr>
              <w:t>18 600,31</w:t>
            </w:r>
          </w:p>
        </w:tc>
        <w:tc>
          <w:tcPr>
            <w:tcW w:w="1134" w:type="dxa"/>
            <w:vAlign w:val="center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/>
                <w:spacing w:val="-4"/>
              </w:rPr>
              <w:t>2 087,41</w:t>
            </w:r>
          </w:p>
        </w:tc>
        <w:tc>
          <w:tcPr>
            <w:tcW w:w="846" w:type="dxa"/>
            <w:vAlign w:val="center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/>
                <w:spacing w:val="-4"/>
              </w:rPr>
              <w:t>200,63</w:t>
            </w:r>
          </w:p>
        </w:tc>
        <w:tc>
          <w:tcPr>
            <w:tcW w:w="962" w:type="dxa"/>
            <w:vAlign w:val="center"/>
          </w:tcPr>
          <w:p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4 604,22</w:t>
            </w:r>
          </w:p>
        </w:tc>
      </w:tr>
      <w:tr>
        <w:tc>
          <w:tcPr>
            <w:tcW w:w="1985" w:type="dxa"/>
          </w:tcPr>
          <w:p>
            <w:pPr>
              <w:tabs>
                <w:tab w:val="left" w:pos="284"/>
              </w:tabs>
              <w:jc w:val="both"/>
            </w:pPr>
            <w:r>
              <w:t>Темп роста 2019 к 2018,%</w:t>
            </w:r>
          </w:p>
        </w:tc>
        <w:tc>
          <w:tcPr>
            <w:tcW w:w="1134" w:type="dxa"/>
            <w:vAlign w:val="center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111,7</w:t>
            </w:r>
          </w:p>
        </w:tc>
        <w:tc>
          <w:tcPr>
            <w:tcW w:w="1276" w:type="dxa"/>
            <w:vAlign w:val="center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113,5</w:t>
            </w:r>
          </w:p>
        </w:tc>
        <w:tc>
          <w:tcPr>
            <w:tcW w:w="1134" w:type="dxa"/>
            <w:vAlign w:val="center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112,2</w:t>
            </w:r>
          </w:p>
        </w:tc>
        <w:tc>
          <w:tcPr>
            <w:tcW w:w="992" w:type="dxa"/>
            <w:vAlign w:val="center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114,2</w:t>
            </w:r>
          </w:p>
        </w:tc>
        <w:tc>
          <w:tcPr>
            <w:tcW w:w="1134" w:type="dxa"/>
            <w:vAlign w:val="center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105,9</w:t>
            </w:r>
          </w:p>
        </w:tc>
        <w:tc>
          <w:tcPr>
            <w:tcW w:w="846" w:type="dxa"/>
            <w:vAlign w:val="center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110,7</w:t>
            </w:r>
          </w:p>
        </w:tc>
        <w:tc>
          <w:tcPr>
            <w:tcW w:w="962" w:type="dxa"/>
            <w:vAlign w:val="center"/>
          </w:tcPr>
          <w:p>
            <w:pPr>
              <w:jc w:val="righ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107,9</w:t>
            </w:r>
          </w:p>
        </w:tc>
      </w:tr>
    </w:tbl>
    <w:p>
      <w:pPr>
        <w:tabs>
          <w:tab w:val="left" w:pos="284"/>
        </w:tabs>
        <w:jc w:val="both"/>
        <w:rPr>
          <w:sz w:val="24"/>
          <w:szCs w:val="24"/>
        </w:rPr>
      </w:pPr>
    </w:p>
    <w:p>
      <w:pPr>
        <w:ind w:firstLine="567"/>
        <w:jc w:val="both"/>
        <w:rPr>
          <w:spacing w:val="-4"/>
          <w:sz w:val="24"/>
          <w:szCs w:val="24"/>
        </w:rPr>
      </w:pPr>
      <w:r>
        <w:rPr>
          <w:sz w:val="24"/>
          <w:szCs w:val="24"/>
        </w:rPr>
        <w:lastRenderedPageBreak/>
        <w:tab/>
      </w:r>
      <w:r>
        <w:rPr>
          <w:spacing w:val="-4"/>
          <w:sz w:val="24"/>
          <w:szCs w:val="24"/>
        </w:rPr>
        <w:t xml:space="preserve">В сравнении с 2018 годом в отчетном периоде доходная и расходная части бюджета ЗАТО Северск возросли. Среди муниципальных образований Томской области по ЗАТО Северск отмечен самый незначительный темп роста доходов в размере 106,7% (кроме г.Стрежевой, в котором темп роста составил 105,9% к уровню 2018 г.). </w:t>
      </w:r>
    </w:p>
    <w:p>
      <w:pPr>
        <w:spacing w:after="120"/>
        <w:ind w:firstLine="567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По темпу роста исполнения налоговых и неналоговых доходов отмечается положительная тенденция: в целом по муниципальным образованиями средний темп роста составляет 103,4% к уровню 2018 года, по городским округам – 102,5%, по ЗАТО Северск – 102,8%.</w:t>
      </w:r>
    </w:p>
    <w:p>
      <w:pPr>
        <w:jc w:val="center"/>
        <w:rPr>
          <w:sz w:val="24"/>
          <w:szCs w:val="24"/>
          <w:highlight w:val="yellow"/>
        </w:rPr>
      </w:pPr>
      <w:r>
        <w:rPr>
          <w:noProof/>
          <w:sz w:val="24"/>
          <w:szCs w:val="24"/>
        </w:rPr>
        <w:drawing>
          <wp:inline distT="0" distB="0" distL="0" distR="0">
            <wp:extent cx="5943600" cy="1879600"/>
            <wp:effectExtent l="19050" t="0" r="0" b="0"/>
            <wp:docPr id="7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>
      <w:pPr>
        <w:ind w:right="55"/>
        <w:jc w:val="center"/>
        <w:rPr>
          <w:spacing w:val="-4"/>
          <w:sz w:val="24"/>
          <w:szCs w:val="24"/>
          <w:highlight w:val="yellow"/>
        </w:rPr>
      </w:pPr>
      <w:r>
        <w:rPr>
          <w:spacing w:val="-4"/>
          <w:sz w:val="24"/>
          <w:szCs w:val="24"/>
        </w:rPr>
        <w:t xml:space="preserve">Рисунок 2. Динамика темпов роста доходов бюджетов городских округов </w:t>
      </w:r>
    </w:p>
    <w:p>
      <w:pPr>
        <w:rPr>
          <w:sz w:val="24"/>
          <w:szCs w:val="24"/>
          <w:highlight w:val="yellow"/>
        </w:rPr>
      </w:pP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Консолидированный бюджет Томской области за 2019 год исполнен с дефицитом 3 487,23 млн.руб., что составило 67,5% от утвержденного планового показателя. Дефицит бюджета ЗАТО Северск составил 60,5% от утвержденного планового показателя.</w:t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Из 20 муниципальных образований Томской области дефицит бюджета по итогам исполнения 2019 года получен по 10-ти, включая ЗАТО Северск. Бюджеты городских округов (кроме г.Томска и ЗАТО Северск) исполнены с профицитом.</w:t>
      </w:r>
    </w:p>
    <w:p>
      <w:pPr>
        <w:spacing w:before="120" w:after="60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Таблица 3. Показатели дефицита/профицита консолидированного бюджета </w:t>
      </w:r>
    </w:p>
    <w:tbl>
      <w:tblPr>
        <w:tblStyle w:val="af7"/>
        <w:tblW w:w="9570" w:type="dxa"/>
        <w:tblLayout w:type="fixed"/>
        <w:tblLook w:val="04A0"/>
      </w:tblPr>
      <w:tblGrid>
        <w:gridCol w:w="2518"/>
        <w:gridCol w:w="992"/>
        <w:gridCol w:w="1134"/>
        <w:gridCol w:w="992"/>
        <w:gridCol w:w="992"/>
        <w:gridCol w:w="1134"/>
        <w:gridCol w:w="846"/>
        <w:gridCol w:w="962"/>
      </w:tblGrid>
      <w:tr>
        <w:trPr>
          <w:cantSplit/>
          <w:trHeight w:val="947"/>
        </w:trPr>
        <w:tc>
          <w:tcPr>
            <w:tcW w:w="2518" w:type="dxa"/>
            <w:vAlign w:val="center"/>
          </w:tcPr>
          <w:p>
            <w:pPr>
              <w:tabs>
                <w:tab w:val="left" w:pos="284"/>
              </w:tabs>
              <w:jc w:val="center"/>
            </w:pPr>
            <w:r>
              <w:t>Показатели</w:t>
            </w:r>
          </w:p>
        </w:tc>
        <w:tc>
          <w:tcPr>
            <w:tcW w:w="992" w:type="dxa"/>
          </w:tcPr>
          <w:p>
            <w:pPr>
              <w:tabs>
                <w:tab w:val="left" w:pos="-108"/>
              </w:tabs>
              <w:ind w:right="-108" w:hanging="108"/>
              <w:jc w:val="center"/>
            </w:pPr>
            <w:r>
              <w:t>1. Бюджет Томской области, всего</w:t>
            </w:r>
          </w:p>
        </w:tc>
        <w:tc>
          <w:tcPr>
            <w:tcW w:w="1134" w:type="dxa"/>
          </w:tcPr>
          <w:p>
            <w:pPr>
              <w:tabs>
                <w:tab w:val="left" w:pos="284"/>
              </w:tabs>
              <w:ind w:left="-108" w:right="-108" w:firstLine="108"/>
              <w:jc w:val="center"/>
            </w:pPr>
            <w:r>
              <w:t>2.Мун. образования, всего</w:t>
            </w:r>
          </w:p>
        </w:tc>
        <w:tc>
          <w:tcPr>
            <w:tcW w:w="992" w:type="dxa"/>
          </w:tcPr>
          <w:p>
            <w:pPr>
              <w:tabs>
                <w:tab w:val="left" w:pos="284"/>
              </w:tabs>
              <w:ind w:right="-108"/>
              <w:jc w:val="center"/>
            </w:pPr>
            <w:r>
              <w:t>3. </w:t>
            </w:r>
            <w:proofErr w:type="spellStart"/>
            <w:proofErr w:type="gramStart"/>
            <w:r>
              <w:t>Городс-кие</w:t>
            </w:r>
            <w:proofErr w:type="spellEnd"/>
            <w:proofErr w:type="gramEnd"/>
            <w:r>
              <w:t xml:space="preserve"> округа, всего</w:t>
            </w:r>
          </w:p>
        </w:tc>
        <w:tc>
          <w:tcPr>
            <w:tcW w:w="992" w:type="dxa"/>
            <w:textDirection w:val="btLr"/>
            <w:vAlign w:val="center"/>
          </w:tcPr>
          <w:p>
            <w:pPr>
              <w:tabs>
                <w:tab w:val="left" w:pos="284"/>
              </w:tabs>
              <w:ind w:left="113" w:right="113"/>
              <w:jc w:val="center"/>
            </w:pPr>
            <w:r>
              <w:t>3.1. Томск</w:t>
            </w:r>
          </w:p>
        </w:tc>
        <w:tc>
          <w:tcPr>
            <w:tcW w:w="1134" w:type="dxa"/>
            <w:textDirection w:val="btLr"/>
            <w:vAlign w:val="center"/>
          </w:tcPr>
          <w:p>
            <w:pPr>
              <w:tabs>
                <w:tab w:val="left" w:pos="284"/>
              </w:tabs>
              <w:ind w:left="113" w:right="113"/>
            </w:pPr>
            <w:r>
              <w:t>3.2.</w:t>
            </w:r>
            <w:proofErr w:type="gramStart"/>
            <w:r>
              <w:t>Стре-жевой</w:t>
            </w:r>
            <w:proofErr w:type="gramEnd"/>
          </w:p>
        </w:tc>
        <w:tc>
          <w:tcPr>
            <w:tcW w:w="846" w:type="dxa"/>
            <w:textDirection w:val="btLr"/>
            <w:vAlign w:val="center"/>
          </w:tcPr>
          <w:p>
            <w:pPr>
              <w:ind w:left="113" w:right="113"/>
            </w:pPr>
            <w:r>
              <w:t>3.3.</w:t>
            </w:r>
            <w:proofErr w:type="gramStart"/>
            <w:r>
              <w:t>Кед-ровый</w:t>
            </w:r>
            <w:proofErr w:type="gramEnd"/>
          </w:p>
        </w:tc>
        <w:tc>
          <w:tcPr>
            <w:tcW w:w="962" w:type="dxa"/>
            <w:textDirection w:val="btLr"/>
            <w:vAlign w:val="center"/>
          </w:tcPr>
          <w:p>
            <w:pPr>
              <w:ind w:left="113" w:right="113"/>
              <w:jc w:val="center"/>
            </w:pPr>
            <w:r>
              <w:t>3.4. ЗАТО Северск</w:t>
            </w:r>
          </w:p>
        </w:tc>
      </w:tr>
      <w:tr>
        <w:tc>
          <w:tcPr>
            <w:tcW w:w="9570" w:type="dxa"/>
            <w:gridSpan w:val="8"/>
          </w:tcPr>
          <w:p>
            <w:pPr>
              <w:tabs>
                <w:tab w:val="left" w:pos="284"/>
              </w:tabs>
              <w:jc w:val="center"/>
            </w:pPr>
            <w:r>
              <w:t>Дефицит/профицит</w:t>
            </w:r>
          </w:p>
        </w:tc>
      </w:tr>
      <w:tr>
        <w:tc>
          <w:tcPr>
            <w:tcW w:w="2518" w:type="dxa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Факт 2018г., млн.руб.</w:t>
            </w:r>
          </w:p>
        </w:tc>
        <w:tc>
          <w:tcPr>
            <w:tcW w:w="992" w:type="dxa"/>
            <w:vAlign w:val="bottom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-425,74</w:t>
            </w:r>
          </w:p>
        </w:tc>
        <w:tc>
          <w:tcPr>
            <w:tcW w:w="1134" w:type="dxa"/>
            <w:vAlign w:val="bottom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273,32</w:t>
            </w:r>
          </w:p>
        </w:tc>
        <w:tc>
          <w:tcPr>
            <w:tcW w:w="992" w:type="dxa"/>
            <w:vAlign w:val="bottom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139,73</w:t>
            </w:r>
          </w:p>
        </w:tc>
        <w:tc>
          <w:tcPr>
            <w:tcW w:w="992" w:type="dxa"/>
            <w:vAlign w:val="bottom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  <w:spacing w:val="-4"/>
              </w:rPr>
              <w:t>105,99</w:t>
            </w:r>
          </w:p>
        </w:tc>
        <w:tc>
          <w:tcPr>
            <w:tcW w:w="1134" w:type="dxa"/>
            <w:vAlign w:val="bottom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  <w:spacing w:val="-4"/>
              </w:rPr>
              <w:t>45,8</w:t>
            </w:r>
          </w:p>
        </w:tc>
        <w:tc>
          <w:tcPr>
            <w:tcW w:w="846" w:type="dxa"/>
            <w:vAlign w:val="bottom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  <w:spacing w:val="-4"/>
              </w:rPr>
              <w:t>4,26</w:t>
            </w:r>
          </w:p>
        </w:tc>
        <w:tc>
          <w:tcPr>
            <w:tcW w:w="962" w:type="dxa"/>
            <w:vAlign w:val="bottom"/>
          </w:tcPr>
          <w:p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-16,31</w:t>
            </w:r>
          </w:p>
        </w:tc>
      </w:tr>
      <w:tr>
        <w:tc>
          <w:tcPr>
            <w:tcW w:w="2518" w:type="dxa"/>
          </w:tcPr>
          <w:p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Темп роста 2018 к 2017,</w:t>
            </w:r>
            <w:r>
              <w:rPr>
                <w:color w:val="000000"/>
                <w:lang w:val="en-US"/>
              </w:rPr>
              <w:t> </w:t>
            </w:r>
            <w:r>
              <w:rPr>
                <w:color w:val="000000"/>
              </w:rPr>
              <w:t>%</w:t>
            </w:r>
          </w:p>
        </w:tc>
        <w:tc>
          <w:tcPr>
            <w:tcW w:w="992" w:type="dxa"/>
            <w:vAlign w:val="bottom"/>
          </w:tcPr>
          <w:p>
            <w:pPr>
              <w:tabs>
                <w:tab w:val="left" w:pos="884"/>
              </w:tabs>
              <w:ind w:left="-108" w:right="-108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в 14 раз</w:t>
            </w:r>
            <w:r>
              <w:rPr>
                <w:rFonts w:ascii="Calibri" w:hAnsi="Calibri" w:cs="Calibri"/>
                <w:color w:val="000000"/>
              </w:rPr>
              <w:t>↓</w:t>
            </w:r>
          </w:p>
        </w:tc>
        <w:tc>
          <w:tcPr>
            <w:tcW w:w="1134" w:type="dxa"/>
            <w:vAlign w:val="bottom"/>
          </w:tcPr>
          <w:p>
            <w:pPr>
              <w:ind w:right="-108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992" w:type="dxa"/>
            <w:vAlign w:val="bottom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992" w:type="dxa"/>
            <w:vAlign w:val="bottom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34" w:type="dxa"/>
            <w:vAlign w:val="bottom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846" w:type="dxa"/>
            <w:vAlign w:val="bottom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962" w:type="dxa"/>
            <w:vAlign w:val="bottom"/>
          </w:tcPr>
          <w:p>
            <w:pPr>
              <w:ind w:left="-103" w:right="-144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в 2,2 раза</w:t>
            </w:r>
            <w:r>
              <w:rPr>
                <w:rFonts w:ascii="Calibri" w:hAnsi="Calibri" w:cs="Calibri"/>
                <w:bCs/>
                <w:color w:val="000000"/>
              </w:rPr>
              <w:t>↓</w:t>
            </w:r>
          </w:p>
        </w:tc>
      </w:tr>
      <w:tr>
        <w:tc>
          <w:tcPr>
            <w:tcW w:w="2518" w:type="dxa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Факт 2019г., млн.руб.</w:t>
            </w:r>
          </w:p>
        </w:tc>
        <w:tc>
          <w:tcPr>
            <w:tcW w:w="992" w:type="dxa"/>
            <w:vAlign w:val="bottom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-3487,23</w:t>
            </w:r>
          </w:p>
        </w:tc>
        <w:tc>
          <w:tcPr>
            <w:tcW w:w="1134" w:type="dxa"/>
            <w:vAlign w:val="bottom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-79,41</w:t>
            </w:r>
          </w:p>
        </w:tc>
        <w:tc>
          <w:tcPr>
            <w:tcW w:w="992" w:type="dxa"/>
            <w:vAlign w:val="bottom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-189,54</w:t>
            </w:r>
          </w:p>
        </w:tc>
        <w:tc>
          <w:tcPr>
            <w:tcW w:w="992" w:type="dxa"/>
            <w:vAlign w:val="bottom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  <w:spacing w:val="-4"/>
              </w:rPr>
              <w:t>-186,52</w:t>
            </w:r>
          </w:p>
        </w:tc>
        <w:tc>
          <w:tcPr>
            <w:tcW w:w="1134" w:type="dxa"/>
            <w:vAlign w:val="bottom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  <w:spacing w:val="-4"/>
              </w:rPr>
              <w:t>49,51</w:t>
            </w:r>
          </w:p>
        </w:tc>
        <w:tc>
          <w:tcPr>
            <w:tcW w:w="846" w:type="dxa"/>
            <w:vAlign w:val="bottom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  <w:spacing w:val="-4"/>
              </w:rPr>
              <w:t>15,23</w:t>
            </w:r>
          </w:p>
        </w:tc>
        <w:tc>
          <w:tcPr>
            <w:tcW w:w="962" w:type="dxa"/>
            <w:vAlign w:val="bottom"/>
          </w:tcPr>
          <w:p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-67,75</w:t>
            </w:r>
          </w:p>
        </w:tc>
      </w:tr>
      <w:tr>
        <w:tc>
          <w:tcPr>
            <w:tcW w:w="2518" w:type="dxa"/>
          </w:tcPr>
          <w:p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Темп роста 2019 к 2018,%</w:t>
            </w:r>
          </w:p>
        </w:tc>
        <w:tc>
          <w:tcPr>
            <w:tcW w:w="992" w:type="dxa"/>
            <w:vAlign w:val="bottom"/>
          </w:tcPr>
          <w:p>
            <w:pPr>
              <w:ind w:left="-108" w:right="-108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в 8раз</w:t>
            </w:r>
            <w:r>
              <w:rPr>
                <w:rFonts w:ascii="Calibri" w:hAnsi="Calibri" w:cs="Calibri"/>
                <w:color w:val="000000"/>
              </w:rPr>
              <w:t>↑</w:t>
            </w:r>
          </w:p>
        </w:tc>
        <w:tc>
          <w:tcPr>
            <w:tcW w:w="1134" w:type="dxa"/>
            <w:vAlign w:val="bottom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992" w:type="dxa"/>
            <w:vAlign w:val="bottom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992" w:type="dxa"/>
            <w:vAlign w:val="bottom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34" w:type="dxa"/>
            <w:vAlign w:val="bottom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846" w:type="dxa"/>
            <w:vAlign w:val="bottom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962" w:type="dxa"/>
            <w:vAlign w:val="bottom"/>
          </w:tcPr>
          <w:p>
            <w:pPr>
              <w:ind w:left="-103" w:right="-2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4,2раза</w:t>
            </w:r>
            <w:r>
              <w:rPr>
                <w:rFonts w:ascii="Calibri" w:hAnsi="Calibri" w:cs="Calibri"/>
                <w:bCs/>
                <w:color w:val="000000"/>
              </w:rPr>
              <w:t>↑</w:t>
            </w:r>
          </w:p>
        </w:tc>
      </w:tr>
    </w:tbl>
    <w:p>
      <w:pPr>
        <w:pStyle w:val="a5"/>
        <w:tabs>
          <w:tab w:val="left" w:pos="6946"/>
        </w:tabs>
        <w:spacing w:after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 состоянию на 01.01.2020 остатки на единых счетах бюджетов муниципальных образований Томской области составили 1 383 889,30 тыс.руб., из которых 612 849,70 тыс.руб. – целевые средства; 771 039,60 тыс.руб. – нецелевые. </w:t>
      </w:r>
    </w:p>
    <w:p>
      <w:pPr>
        <w:pStyle w:val="a5"/>
        <w:tabs>
          <w:tab w:val="left" w:pos="6946"/>
        </w:tabs>
        <w:spacing w:after="0"/>
        <w:ind w:firstLine="567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При исполнении бюджета ЗАТО Северск </w:t>
      </w:r>
      <w:r>
        <w:rPr>
          <w:color w:val="000000"/>
          <w:sz w:val="24"/>
          <w:szCs w:val="24"/>
        </w:rPr>
        <w:t>остатки средств на едином счете бюджета ЗАТО Северск составили 30 320,77 тыс. руб., в том числе целевые средства 7 618,70 тыс.руб. Удельный вес остатков бюджета ЗАТО Северск от общей суммы остатков составляет 2,2%, в т.ч. целевых – 1%.</w:t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noProof/>
          <w:sz w:val="24"/>
          <w:szCs w:val="24"/>
        </w:rPr>
        <w:drawing>
          <wp:inline distT="0" distB="0" distL="0" distR="0">
            <wp:extent cx="5657438" cy="1638026"/>
            <wp:effectExtent l="19050" t="0" r="412" b="0"/>
            <wp:docPr id="15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>
      <w:pPr>
        <w:rPr>
          <w:sz w:val="10"/>
          <w:szCs w:val="10"/>
        </w:rPr>
      </w:pPr>
      <w:r>
        <w:rPr>
          <w:sz w:val="10"/>
          <w:szCs w:val="10"/>
        </w:rPr>
        <w:t xml:space="preserve">     </w:t>
      </w:r>
    </w:p>
    <w:p>
      <w:pPr>
        <w:jc w:val="center"/>
        <w:rPr>
          <w:sz w:val="24"/>
          <w:szCs w:val="24"/>
          <w:highlight w:val="yellow"/>
        </w:rPr>
      </w:pPr>
      <w:r>
        <w:rPr>
          <w:sz w:val="24"/>
          <w:szCs w:val="24"/>
        </w:rPr>
        <w:t>Рисунок 3. Остатки на единых счетах бюджетов Томской области</w:t>
      </w:r>
    </w:p>
    <w:p>
      <w:pPr>
        <w:ind w:right="55"/>
        <w:rPr>
          <w:b/>
          <w:bCs/>
          <w:sz w:val="24"/>
          <w:szCs w:val="24"/>
        </w:rPr>
      </w:pPr>
    </w:p>
    <w:p>
      <w:pPr>
        <w:ind w:left="708" w:right="55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II</w:t>
      </w:r>
      <w:r>
        <w:rPr>
          <w:b/>
          <w:bCs/>
          <w:sz w:val="24"/>
          <w:szCs w:val="24"/>
        </w:rPr>
        <w:t>. РЕАЛИЗАЦИЯ БЮДЖЕТНОЙ И НАЛОГОВОЙ ПОЛИТИКИ</w:t>
      </w:r>
    </w:p>
    <w:p>
      <w:pPr>
        <w:ind w:left="708" w:right="55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НА ТЕРРИТОРИИ ЗАТО СЕВЕРСК В 2019 ГОДУ</w:t>
      </w:r>
    </w:p>
    <w:p>
      <w:pPr>
        <w:ind w:left="708" w:right="55"/>
        <w:jc w:val="center"/>
        <w:rPr>
          <w:b/>
          <w:bCs/>
          <w:sz w:val="16"/>
          <w:szCs w:val="16"/>
          <w:highlight w:val="yellow"/>
        </w:rPr>
      </w:pPr>
    </w:p>
    <w:p>
      <w:pPr>
        <w:pStyle w:val="a5"/>
        <w:spacing w:after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Основной целью бюджетной и налоговой политики ЗАТО Северск в 2019 году являлось обеспечение сбалансированности и устойчивости бюджета ЗАТО Северск. Для достижения этой цели в области бюджетной и налоговой политики в 2019 году реализовано следующее.</w:t>
      </w:r>
    </w:p>
    <w:p>
      <w:pPr>
        <w:pStyle w:val="a5"/>
        <w:spacing w:after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1. Для достижения цели по обеспечению сбалансированности местного бюджета в 2019 году ставилась задача по проведению оптимальной долговой политики: </w:t>
      </w:r>
    </w:p>
    <w:p>
      <w:pPr>
        <w:pStyle w:val="a5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 в рамках заключенного с Управлением Федерального казначейства Соглашения от 02.09.2013 активно использовался механизм заимствования свободных остатков денежных средств с лицевых счетов муниципальных учреждений, что позволило в течение 2019 года для покрытия кассовых разрывов бюджета ЗАТО Северск не привлекать кредитные ресурсы. Бюджетный эффект составил 5 799,99 тыс.руб.;</w:t>
      </w:r>
    </w:p>
    <w:p>
      <w:pPr>
        <w:pStyle w:val="a5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 досрочное исполнение обязательств по бюджетным кредитам позволило сократить расходы на обслуживание муниципального долга на 4 822,91 тыс.руб. Доля расходов на обслуживание муниципального долга в общих расходах (без учета расходов за счет субвенций) бюджета составляет 0,3%;</w:t>
      </w:r>
    </w:p>
    <w:p>
      <w:pPr>
        <w:pStyle w:val="20"/>
        <w:ind w:firstLine="709"/>
        <w:rPr>
          <w:spacing w:val="-4"/>
          <w:szCs w:val="24"/>
        </w:rPr>
      </w:pPr>
      <w:r>
        <w:rPr>
          <w:spacing w:val="-4"/>
          <w:szCs w:val="24"/>
        </w:rPr>
        <w:t xml:space="preserve">- на сокращение муниципального долга направлено 19 млн.руб. </w:t>
      </w:r>
    </w:p>
    <w:p>
      <w:pPr>
        <w:pStyle w:val="a5"/>
        <w:spacing w:after="0"/>
        <w:jc w:val="both"/>
        <w:rPr>
          <w:sz w:val="10"/>
          <w:szCs w:val="10"/>
        </w:rPr>
      </w:pPr>
    </w:p>
    <w:p>
      <w:pPr>
        <w:pStyle w:val="a5"/>
        <w:spacing w:after="0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2. Обеспечено выполнение Указов Президента Российской Федерации:</w:t>
      </w:r>
    </w:p>
    <w:p>
      <w:pPr>
        <w:pStyle w:val="a5"/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  <w:t>2.1. От 7 мая 2012 года:</w:t>
      </w:r>
    </w:p>
    <w:p>
      <w:pPr>
        <w:autoSpaceDE w:val="0"/>
        <w:autoSpaceDN w:val="0"/>
        <w:adjustRightInd w:val="0"/>
        <w:ind w:firstLine="708"/>
        <w:jc w:val="both"/>
        <w:outlineLvl w:val="1"/>
        <w:rPr>
          <w:sz w:val="24"/>
          <w:szCs w:val="24"/>
        </w:rPr>
      </w:pPr>
      <w:r>
        <w:rPr>
          <w:sz w:val="24"/>
          <w:szCs w:val="24"/>
        </w:rPr>
        <w:t>2.1.1. В целях реализации Указа от 07.05.2012 № 597 «О мероприятиях по реализации государственной социальной политики»  по обеспечению достижения уровня заработной платы работников бюджетной сферы и иных целевых индикаторов, предусмотренных «дорожными картами» повышена средняя заработная плата педагогических работников -  в общеобразовательных организациях она составила 39,9 тыс.руб., в дошкольных образовательных организациях 36,0 тыс.руб., в организациях дополнительного образования детей спортивной направленности 39,7 тыс.руб.;</w:t>
      </w:r>
    </w:p>
    <w:p>
      <w:pPr>
        <w:autoSpaceDE w:val="0"/>
        <w:autoSpaceDN w:val="0"/>
        <w:adjustRightInd w:val="0"/>
        <w:ind w:firstLine="708"/>
        <w:jc w:val="both"/>
        <w:outlineLvl w:val="1"/>
        <w:rPr>
          <w:sz w:val="24"/>
          <w:szCs w:val="24"/>
        </w:rPr>
      </w:pPr>
      <w:r>
        <w:rPr>
          <w:sz w:val="24"/>
          <w:szCs w:val="24"/>
        </w:rPr>
        <w:t>2.1.2. В целях реализации Указа от 07.05.2012 № 600 «О мерах по обеспечению граждан Российской Федерации доступным и комфортным жильем и повышению качества жилищно-коммунальных услуг»:</w:t>
      </w:r>
    </w:p>
    <w:p>
      <w:pPr>
        <w:autoSpaceDE w:val="0"/>
        <w:autoSpaceDN w:val="0"/>
        <w:adjustRightInd w:val="0"/>
        <w:ind w:firstLine="708"/>
        <w:jc w:val="both"/>
        <w:outlineLvl w:val="1"/>
        <w:rPr>
          <w:sz w:val="24"/>
          <w:szCs w:val="24"/>
        </w:rPr>
      </w:pPr>
      <w:r>
        <w:rPr>
          <w:sz w:val="24"/>
          <w:szCs w:val="24"/>
        </w:rPr>
        <w:t xml:space="preserve">- оказана поддержка молодым семьям в приобретении жилья в общей сумме 8 668,8 тыс.руб. (из которых 3 996,09 тыс.руб. - средства местного бюджета), </w:t>
      </w:r>
    </w:p>
    <w:p>
      <w:pPr>
        <w:autoSpaceDE w:val="0"/>
        <w:autoSpaceDN w:val="0"/>
        <w:adjustRightInd w:val="0"/>
        <w:ind w:firstLine="708"/>
        <w:jc w:val="both"/>
        <w:outlineLvl w:val="1"/>
        <w:rPr>
          <w:sz w:val="24"/>
          <w:szCs w:val="24"/>
        </w:rPr>
      </w:pPr>
      <w:r>
        <w:rPr>
          <w:sz w:val="24"/>
          <w:szCs w:val="24"/>
        </w:rPr>
        <w:t>- оказана поддержка в ремонте жилых помещений ветеранам ВОВ и приравненных к ним категорий в общей сумме 4 040,00 тыс.руб., (из которых 2 020,00 тыс.руб. - средства местного бюджета),</w:t>
      </w:r>
    </w:p>
    <w:p>
      <w:pPr>
        <w:autoSpaceDE w:val="0"/>
        <w:autoSpaceDN w:val="0"/>
        <w:adjustRightInd w:val="0"/>
        <w:ind w:firstLine="708"/>
        <w:jc w:val="both"/>
        <w:outlineLvl w:val="1"/>
        <w:rPr>
          <w:sz w:val="24"/>
          <w:szCs w:val="24"/>
        </w:rPr>
      </w:pPr>
      <w:r>
        <w:rPr>
          <w:sz w:val="24"/>
          <w:szCs w:val="24"/>
        </w:rPr>
        <w:t>- произведены выплаты по взносам за капитальный ремонт жилых помещений за муниципальное жилье в общей сумме 10 503,06 тыс.руб.,</w:t>
      </w:r>
    </w:p>
    <w:p>
      <w:pPr>
        <w:autoSpaceDE w:val="0"/>
        <w:autoSpaceDN w:val="0"/>
        <w:adjustRightInd w:val="0"/>
        <w:ind w:firstLine="708"/>
        <w:jc w:val="both"/>
        <w:outlineLvl w:val="1"/>
        <w:rPr>
          <w:sz w:val="24"/>
          <w:szCs w:val="24"/>
        </w:rPr>
      </w:pPr>
      <w:r>
        <w:rPr>
          <w:sz w:val="24"/>
          <w:szCs w:val="24"/>
        </w:rPr>
        <w:t>- осуществлен капитальный и текущий ремонт муниципального жилищного фонда в сумме 2 021,54 тыс. руб.</w:t>
      </w:r>
    </w:p>
    <w:p>
      <w:pPr>
        <w:autoSpaceDE w:val="0"/>
        <w:autoSpaceDN w:val="0"/>
        <w:adjustRightInd w:val="0"/>
        <w:ind w:firstLine="708"/>
        <w:jc w:val="both"/>
        <w:outlineLvl w:val="1"/>
        <w:rPr>
          <w:sz w:val="10"/>
          <w:szCs w:val="10"/>
        </w:rPr>
      </w:pPr>
    </w:p>
    <w:p>
      <w:pPr>
        <w:tabs>
          <w:tab w:val="left" w:pos="0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2.2. от 7 мая 2018 года </w:t>
      </w:r>
      <w:r>
        <w:rPr>
          <w:b/>
          <w:sz w:val="24"/>
          <w:szCs w:val="24"/>
        </w:rPr>
        <w:t>№ 204</w:t>
      </w:r>
      <w:r>
        <w:rPr>
          <w:sz w:val="24"/>
          <w:szCs w:val="24"/>
        </w:rPr>
        <w:t xml:space="preserve"> «О национальных целях и стратегических задачах развития РФ на период до 2024 года»: </w:t>
      </w:r>
    </w:p>
    <w:p>
      <w:pPr>
        <w:tabs>
          <w:tab w:val="left" w:pos="0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В 2019 году бюджет ЗАТО Северск участвовал в шести национальных проектах через восемь интегрированных региональных проектов таких, как «Спорт – норма жизни», «Современная школа», «Цифровая образовательная среда», «Успех каждого ребенка», «Формирование комфортной городской среды», «Дорожная сеть», «Культурная среда», «Акселерация субъектов малого и среднего предпринимательства». </w:t>
      </w:r>
    </w:p>
    <w:p>
      <w:pPr>
        <w:tabs>
          <w:tab w:val="left" w:pos="0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  <w:t>За отчетный год по указанным проектам реализовано мероприятий на общую сумму 327 455,44 тыс.руб.,</w:t>
      </w:r>
      <w:r>
        <w:rPr>
          <w:sz w:val="28"/>
          <w:szCs w:val="28"/>
        </w:rPr>
        <w:t xml:space="preserve"> </w:t>
      </w:r>
      <w:r>
        <w:rPr>
          <w:sz w:val="24"/>
          <w:szCs w:val="24"/>
        </w:rPr>
        <w:t>в т.ч. за счет средств федерального бюджета на 201 923,37 тыс.руб. или 62%; областного бюджета – 58</w:t>
      </w:r>
      <w:r>
        <w:rPr>
          <w:sz w:val="24"/>
          <w:szCs w:val="24"/>
          <w:lang w:val="en-US"/>
        </w:rPr>
        <w:t> </w:t>
      </w:r>
      <w:r>
        <w:rPr>
          <w:sz w:val="24"/>
          <w:szCs w:val="24"/>
        </w:rPr>
        <w:t xml:space="preserve">964,28 тыс.руб. или 18% и местного бюджета – 66 567,79 тыс.руб. или 20%. </w:t>
      </w:r>
    </w:p>
    <w:p>
      <w:pPr>
        <w:tabs>
          <w:tab w:val="left" w:pos="0"/>
        </w:tabs>
        <w:jc w:val="both"/>
        <w:rPr>
          <w:sz w:val="24"/>
          <w:szCs w:val="24"/>
        </w:rPr>
      </w:pPr>
    </w:p>
    <w:p>
      <w:pPr>
        <w:tabs>
          <w:tab w:val="left" w:pos="0"/>
        </w:tabs>
        <w:jc w:val="both"/>
        <w:rPr>
          <w:sz w:val="24"/>
          <w:szCs w:val="24"/>
        </w:rPr>
      </w:pPr>
    </w:p>
    <w:p>
      <w:pPr>
        <w:tabs>
          <w:tab w:val="left" w:pos="0"/>
        </w:tabs>
        <w:jc w:val="both"/>
        <w:rPr>
          <w:sz w:val="24"/>
          <w:szCs w:val="24"/>
        </w:rPr>
      </w:pPr>
    </w:p>
    <w:p>
      <w:pPr>
        <w:tabs>
          <w:tab w:val="left" w:pos="0"/>
        </w:tabs>
        <w:jc w:val="both"/>
        <w:rPr>
          <w:sz w:val="24"/>
          <w:szCs w:val="24"/>
        </w:rPr>
      </w:pPr>
      <w:bookmarkStart w:id="0" w:name="_GoBack"/>
      <w:r>
        <w:rPr>
          <w:noProof/>
          <w:color w:val="A6A6A6" w:themeColor="background1" w:themeShade="A6"/>
        </w:rPr>
        <w:drawing>
          <wp:inline distT="0" distB="0" distL="0" distR="0">
            <wp:extent cx="5939790" cy="1828800"/>
            <wp:effectExtent l="0" t="0" r="0" b="0"/>
            <wp:docPr id="9" name="Диаграмма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  <w:bookmarkEnd w:id="0"/>
    </w:p>
    <w:p>
      <w:pPr>
        <w:tabs>
          <w:tab w:val="left" w:pos="0"/>
        </w:tabs>
        <w:jc w:val="both"/>
        <w:rPr>
          <w:sz w:val="24"/>
          <w:szCs w:val="24"/>
        </w:rPr>
      </w:pPr>
    </w:p>
    <w:p>
      <w:pPr>
        <w:tabs>
          <w:tab w:val="left" w:pos="0"/>
        </w:tabs>
        <w:jc w:val="both"/>
        <w:rPr>
          <w:sz w:val="24"/>
          <w:szCs w:val="24"/>
        </w:rPr>
      </w:pPr>
    </w:p>
    <w:p>
      <w:pPr>
        <w:tabs>
          <w:tab w:val="left" w:pos="0"/>
        </w:tabs>
        <w:jc w:val="center"/>
        <w:rPr>
          <w:sz w:val="24"/>
          <w:szCs w:val="24"/>
        </w:rPr>
      </w:pPr>
      <w:r>
        <w:rPr>
          <w:sz w:val="24"/>
          <w:szCs w:val="24"/>
        </w:rPr>
        <w:t>Рисунок 4. Структура расходов бюджета ЗАТО Северск на реализацию национальных проектов по источникам финансирования в 2019 году</w:t>
      </w:r>
    </w:p>
    <w:p>
      <w:pPr>
        <w:tabs>
          <w:tab w:val="left" w:pos="0"/>
        </w:tabs>
        <w:jc w:val="center"/>
        <w:rPr>
          <w:sz w:val="24"/>
          <w:szCs w:val="24"/>
        </w:rPr>
      </w:pPr>
    </w:p>
    <w:p>
      <w:pPr>
        <w:pStyle w:val="ConsPlusNormal"/>
        <w:ind w:firstLine="709"/>
        <w:jc w:val="both"/>
      </w:pPr>
      <w:r>
        <w:t xml:space="preserve">3. В целях решения задачи по совершенствованию механизма реализации муниципальных программ и их увязки с процедурами бюджетного планирования пятый год бюджет ЗАТО Северск исполнялся по программно-целевому принципу на базе 18 программ, в т.ч. 17 муниципальных программ и Программы комплексного развития систем коммунальной и инженерной инфраструктуры. </w:t>
      </w:r>
    </w:p>
    <w:p>
      <w:pPr>
        <w:pStyle w:val="ConsPlusNormal"/>
        <w:ind w:firstLine="709"/>
        <w:jc w:val="both"/>
      </w:pPr>
      <w:r>
        <w:t xml:space="preserve">Доля программных расходов бюджета ЗАТО Северск составила 93,6%. </w:t>
      </w:r>
    </w:p>
    <w:p>
      <w:pPr>
        <w:autoSpaceDE w:val="0"/>
        <w:autoSpaceDN w:val="0"/>
        <w:adjustRightInd w:val="0"/>
        <w:ind w:firstLine="709"/>
        <w:jc w:val="both"/>
        <w:rPr>
          <w:sz w:val="10"/>
          <w:szCs w:val="10"/>
        </w:rPr>
      </w:pPr>
    </w:p>
    <w:p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Финансовое обеспечение выполнения муниципальных заданий осуществлялось в соответствии с расчетными нормативными затратами, рассчитанными на основании базовых нормативных затрат и корректирующих коэффициентов к ним. </w:t>
      </w:r>
    </w:p>
    <w:p>
      <w:pPr>
        <w:pStyle w:val="af8"/>
        <w:tabs>
          <w:tab w:val="left" w:pos="993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соответствии с требованиями части 3 статьи 69.2 Бюджетного кодекса РФ муниципальные задания в 2019 году формировались на услуги и работы, вошедшие в общегосударственные перечни (классификаторы) государственных (муниципальных) услуг и работ и региональный перечень (классификатор) государственных (муниципальных) услуг и работ, утвержденный распоряжением Администрации Томской области от 28.12.2017 № 821-ра «Об утверждении регионального перечня (классификатора) государственных (муниципальных) услуг и работ». </w:t>
      </w:r>
    </w:p>
    <w:p>
      <w:pPr>
        <w:pStyle w:val="af8"/>
        <w:tabs>
          <w:tab w:val="left" w:pos="993"/>
        </w:tabs>
        <w:ind w:left="0" w:firstLine="709"/>
        <w:jc w:val="both"/>
        <w:rPr>
          <w:sz w:val="10"/>
          <w:szCs w:val="10"/>
        </w:rPr>
      </w:pPr>
    </w:p>
    <w:p>
      <w:pPr>
        <w:pStyle w:val="a5"/>
        <w:spacing w:after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5.</w:t>
      </w:r>
      <w:r>
        <w:rPr>
          <w:sz w:val="24"/>
          <w:szCs w:val="24"/>
          <w:lang w:val="en-US"/>
        </w:rPr>
        <w:t> </w:t>
      </w:r>
      <w:r>
        <w:rPr>
          <w:sz w:val="24"/>
          <w:szCs w:val="24"/>
        </w:rPr>
        <w:t>Для решения задачи по обеспечению высокого качества управления бюджетным процессом:</w:t>
      </w:r>
    </w:p>
    <w:p>
      <w:pPr>
        <w:tabs>
          <w:tab w:val="left" w:pos="284"/>
          <w:tab w:val="left" w:pos="567"/>
          <w:tab w:val="left" w:pos="709"/>
          <w:tab w:val="left" w:pos="993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5.1. Соблюдены требования бюджетного законодательства Российской Федерации и Томской области в части не принятия новых расходных обязательств, не обеспеченных реальными источниками финансирования;</w:t>
      </w:r>
    </w:p>
    <w:p>
      <w:pPr>
        <w:tabs>
          <w:tab w:val="left" w:pos="709"/>
          <w:tab w:val="left" w:pos="993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  <w:t>5.2. Подготовлена и направлена в Министерство финансов Российской Федерации информация о частично принятых мерах по отмене расходных обязательств, не связанных с решением вопросов, отнесенных к полномочиям ОМСУ в соответствии с условиями трехстороннего Соглашения:</w:t>
      </w:r>
    </w:p>
    <w:p>
      <w:pPr>
        <w:ind w:firstLine="708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5.2.1. Решением Думы ЗАТО Северск</w:t>
      </w:r>
      <w:r>
        <w:rPr>
          <w:color w:val="000000"/>
          <w:sz w:val="24"/>
          <w:szCs w:val="24"/>
        </w:rPr>
        <w:t xml:space="preserve"> от 29.08.2019 №54/5 отменены 4 меры социальной поддержки на сумму 1,9 млн.руб.;</w:t>
      </w:r>
    </w:p>
    <w:p>
      <w:pPr>
        <w:ind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5.2.2. Распоряжением Администрации ЗАТО Северск от 13.08.2019 № 902-р отменены расходы по </w:t>
      </w:r>
      <w:proofErr w:type="spellStart"/>
      <w:r>
        <w:rPr>
          <w:color w:val="000000"/>
          <w:sz w:val="24"/>
          <w:szCs w:val="24"/>
        </w:rPr>
        <w:t>софинансированию</w:t>
      </w:r>
      <w:proofErr w:type="spellEnd"/>
      <w:r>
        <w:rPr>
          <w:color w:val="000000"/>
          <w:sz w:val="24"/>
          <w:szCs w:val="24"/>
        </w:rPr>
        <w:t xml:space="preserve"> межбюджетного трансферта из областного бюджета на отлов и содержание безнадзорных животных, обитающих на территории ЗАТО Северск на сумму 0,4 млн.руб.;</w:t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5.3. Предприняты меры по недопущению образования просроченной кредиторской задолженности по действующим расходным обязательствам;</w:t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5.4. Выполнен мониторинг качества финансового менеджмента одиннадцати ГРБС согласно постановлению Администрации ЗАТО Северск от 30.03.2016 № 558 «Об оценке качества финансового менеджмента главных распорядителей средств бюджета ЗАТО </w:t>
      </w:r>
      <w:r>
        <w:rPr>
          <w:sz w:val="24"/>
          <w:szCs w:val="24"/>
        </w:rPr>
        <w:lastRenderedPageBreak/>
        <w:t>Северск». Результаты рейтинга ГРБС по качеству финансового менеджмента за 2018 год размещены на официальном сайте Администрации ЗАТО Северск в сети Интернет.</w:t>
      </w:r>
    </w:p>
    <w:p>
      <w:pPr>
        <w:ind w:firstLine="709"/>
        <w:jc w:val="both"/>
        <w:rPr>
          <w:sz w:val="10"/>
          <w:szCs w:val="10"/>
        </w:rPr>
      </w:pPr>
    </w:p>
    <w:p>
      <w:pPr>
        <w:ind w:firstLine="709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6. Для устойчивого финансового обеспечения дорожной деятельности в отношении автомобильных дорог общего пользования в составе бюджета ЗАТО Северск с 2012 года консолидирован муниципальный дорожный фонд. Бюджетные ассигнования Дорожного фонда составили 365 326,58 тыс.руб., что на </w:t>
      </w:r>
      <w:r>
        <w:rPr>
          <w:color w:val="000000"/>
          <w:sz w:val="24"/>
          <w:szCs w:val="24"/>
        </w:rPr>
        <w:t xml:space="preserve">19% больше, чем в 2018 году. </w:t>
      </w:r>
    </w:p>
    <w:p>
      <w:pPr>
        <w:ind w:firstLine="709"/>
        <w:jc w:val="both"/>
        <w:rPr>
          <w:sz w:val="10"/>
          <w:szCs w:val="10"/>
        </w:rPr>
      </w:pPr>
    </w:p>
    <w:p>
      <w:pPr>
        <w:pStyle w:val="a5"/>
        <w:tabs>
          <w:tab w:val="left" w:pos="709"/>
        </w:tabs>
        <w:spacing w:after="0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ab/>
      </w:r>
      <w:r>
        <w:rPr>
          <w:sz w:val="24"/>
          <w:szCs w:val="24"/>
        </w:rPr>
        <w:t>7.</w:t>
      </w:r>
      <w:r>
        <w:rPr>
          <w:sz w:val="24"/>
          <w:szCs w:val="24"/>
          <w:lang w:val="en-US"/>
        </w:rPr>
        <w:t> </w:t>
      </w:r>
      <w:r>
        <w:rPr>
          <w:sz w:val="24"/>
          <w:szCs w:val="24"/>
        </w:rPr>
        <w:t>Для решения задачи по повышению уровня автоматизации финансового и управленческого учета реализованы следующие мероприятия:</w:t>
      </w:r>
    </w:p>
    <w:p>
      <w:pPr>
        <w:pStyle w:val="a5"/>
        <w:spacing w:after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 Продолжена промышленная эксплуатация информационных систем «АЦК-Финансы», «АЦК-Планирование». </w:t>
      </w:r>
    </w:p>
    <w:p>
      <w:pPr>
        <w:pStyle w:val="a5"/>
        <w:spacing w:after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Проект бюджета ЗАТО Северск на 2020-2022 годы представлен в Думу ЗАТО Северск по формам, сформированным в программном модуле «АЦК-Планирование». Также в 2019 году реализована функция формирования сводной бюджетной росписи по бюджетным ассигнованиям и лимитам бюджетных обязательств,</w:t>
      </w:r>
      <w:r>
        <w:t xml:space="preserve"> </w:t>
      </w:r>
      <w:r>
        <w:rPr>
          <w:sz w:val="24"/>
          <w:szCs w:val="24"/>
        </w:rPr>
        <w:t>уведомления о бюджетных назначениях для главных распорядителей бюджетных средств ЗАТО Северск.</w:t>
      </w:r>
    </w:p>
    <w:p>
      <w:pPr>
        <w:pStyle w:val="a5"/>
        <w:spacing w:after="0"/>
        <w:ind w:firstLine="709"/>
        <w:jc w:val="both"/>
        <w:rPr>
          <w:color w:val="000000"/>
          <w:sz w:val="10"/>
          <w:szCs w:val="10"/>
        </w:rPr>
      </w:pP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 В целях повышения прозрачности и открытости информации о бюджете и бюджетном процессе ЗАТО Северск для населения на официальном сайте Администрации ЗАТО Северск бюджет для граждан размещался, как по отчету об исполнении бюджета за 2018 год, так и по утвержденному бюджету на 2019-2021 годы, по проекту и утвержденному бюджету на 2020-2022 годы. </w:t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Кроме того, на официальном сайте Администрации ЗАТО Северск ежемесячно публикуется информация об исполнении местного бюджета.</w:t>
      </w:r>
    </w:p>
    <w:p>
      <w:pPr>
        <w:ind w:firstLine="709"/>
        <w:jc w:val="both"/>
        <w:rPr>
          <w:sz w:val="10"/>
          <w:szCs w:val="10"/>
        </w:rPr>
      </w:pP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9. Бюджет ЗАТО Северск в 2019 году исполнен с учетом реализации мер, направленных на рост доходной части бюджета, в пределах полномочий органов местного самоуправления:</w:t>
      </w:r>
    </w:p>
    <w:p>
      <w:pPr>
        <w:ind w:firstLine="709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9.1. По налогу на имущество физических лиц решением Думы ЗАТО Северск от 30.08.2017 № 29/6 увеличены значения ставок </w:t>
      </w:r>
      <w:r>
        <w:rPr>
          <w:color w:val="000000"/>
          <w:sz w:val="24"/>
          <w:szCs w:val="24"/>
        </w:rPr>
        <w:t xml:space="preserve">НИФЛ, исчисленного от инвентаризационной стоимости, по двум категориям жилых помещений (стоимостью от 300 до 500 тыс.руб. и свыше 500 тыс.руб.). Бюджетный эффект оценен в 2,7 млн.руб. </w:t>
      </w:r>
    </w:p>
    <w:p>
      <w:pPr>
        <w:ind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9.2. По единому налогу на вмененный доход решением Думы ЗАТО Северск от 30.08.2018 №41/4 корректирующий коэффициент К2, по которым не достигнуты максимальные значения увеличен на индекс роста потребительских цен. Бюджетный эффект оценен в 1,7 млн.руб.   </w:t>
      </w:r>
    </w:p>
    <w:p>
      <w:pPr>
        <w:ind w:firstLine="708"/>
        <w:jc w:val="both"/>
        <w:rPr>
          <w:color w:val="000000"/>
          <w:sz w:val="10"/>
          <w:szCs w:val="10"/>
        </w:rPr>
      </w:pPr>
      <w:r>
        <w:rPr>
          <w:color w:val="000000"/>
          <w:sz w:val="28"/>
          <w:szCs w:val="28"/>
        </w:rPr>
        <w:t xml:space="preserve">    </w:t>
      </w:r>
      <w:r>
        <w:rPr>
          <w:color w:val="000000"/>
          <w:sz w:val="10"/>
          <w:szCs w:val="10"/>
        </w:rPr>
        <w:t xml:space="preserve">                                                                                                                                                                    </w:t>
      </w:r>
    </w:p>
    <w:p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 10. В 2019 году сохранены льготы по земельному налогу для социально категориям населения. Расчетная сумма бюджетной и социальной эффективности предоставления таких льгот, выполненная в соответствии с порядком оценки, утвержденным постановлением Главы Администрации ЗАТО Северск от 31.08.2007 № 1848, свидетельствует об эффективности действующих на территории налоговых льгот. </w:t>
      </w:r>
    </w:p>
    <w:p>
      <w:pPr>
        <w:autoSpaceDE w:val="0"/>
        <w:autoSpaceDN w:val="0"/>
        <w:adjustRightInd w:val="0"/>
        <w:ind w:firstLine="709"/>
        <w:jc w:val="both"/>
        <w:rPr>
          <w:sz w:val="10"/>
          <w:szCs w:val="10"/>
        </w:rPr>
      </w:pPr>
      <w:r>
        <w:rPr>
          <w:sz w:val="24"/>
          <w:szCs w:val="24"/>
        </w:rPr>
        <w:t xml:space="preserve"> </w:t>
      </w:r>
    </w:p>
    <w:p>
      <w:pPr>
        <w:pStyle w:val="a5"/>
        <w:spacing w:after="0"/>
        <w:ind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>11. Продолжена работа Комиссии по мобилизации доходов. К</w:t>
      </w:r>
      <w:r>
        <w:rPr>
          <w:bCs/>
          <w:sz w:val="24"/>
          <w:szCs w:val="24"/>
        </w:rPr>
        <w:t xml:space="preserve">ак результат проведенных 6 заседаний комиссии отмечен эффект в части дополнительных поступлений в бюджет ЗАТО Северск за 2019 год в сумме 9 096,00 тыс.руб. </w:t>
      </w:r>
    </w:p>
    <w:p>
      <w:pPr>
        <w:pStyle w:val="a5"/>
        <w:spacing w:after="0"/>
        <w:ind w:firstLine="709"/>
        <w:jc w:val="both"/>
        <w:rPr>
          <w:bCs/>
          <w:sz w:val="10"/>
          <w:szCs w:val="10"/>
        </w:rPr>
      </w:pPr>
    </w:p>
    <w:p>
      <w:pPr>
        <w:pStyle w:val="a5"/>
        <w:spacing w:after="0"/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12. На территории ЗАТО Северск реализован </w:t>
      </w:r>
      <w:r>
        <w:rPr>
          <w:sz w:val="24"/>
          <w:szCs w:val="24"/>
        </w:rPr>
        <w:t>проект Министерства финансов Российской Федерации «Содействие повышению уровня финансовой грамотности населения и развитию финансового образования в Российской Федерации», проведены обучающие семинары с населением.</w:t>
      </w:r>
    </w:p>
    <w:p>
      <w:pPr>
        <w:rPr>
          <w:b/>
          <w:sz w:val="24"/>
          <w:szCs w:val="24"/>
        </w:rPr>
      </w:pPr>
    </w:p>
    <w:p>
      <w:pPr>
        <w:rPr>
          <w:b/>
          <w:sz w:val="24"/>
          <w:szCs w:val="24"/>
        </w:rPr>
      </w:pPr>
    </w:p>
    <w:p>
      <w:pPr>
        <w:rPr>
          <w:b/>
          <w:sz w:val="24"/>
          <w:szCs w:val="24"/>
        </w:rPr>
      </w:pPr>
    </w:p>
    <w:p>
      <w:pPr>
        <w:rPr>
          <w:b/>
          <w:sz w:val="24"/>
          <w:szCs w:val="24"/>
        </w:rPr>
      </w:pPr>
    </w:p>
    <w:p>
      <w:pPr>
        <w:rPr>
          <w:b/>
          <w:sz w:val="24"/>
          <w:szCs w:val="24"/>
        </w:rPr>
      </w:pPr>
    </w:p>
    <w:p>
      <w:pPr>
        <w:rPr>
          <w:b/>
          <w:sz w:val="24"/>
          <w:szCs w:val="24"/>
        </w:rPr>
      </w:pPr>
    </w:p>
    <w:p>
      <w:pPr>
        <w:rPr>
          <w:b/>
          <w:sz w:val="16"/>
          <w:szCs w:val="16"/>
        </w:rPr>
      </w:pP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lastRenderedPageBreak/>
        <w:t>III</w:t>
      </w:r>
      <w:r>
        <w:rPr>
          <w:b/>
          <w:sz w:val="24"/>
          <w:szCs w:val="24"/>
        </w:rPr>
        <w:t>. ДОХОДЫ</w:t>
      </w:r>
    </w:p>
    <w:p>
      <w:pPr>
        <w:jc w:val="center"/>
        <w:rPr>
          <w:b/>
          <w:sz w:val="16"/>
          <w:szCs w:val="16"/>
        </w:rPr>
      </w:pPr>
    </w:p>
    <w:p>
      <w:pPr>
        <w:ind w:right="-2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Прогноз 2019 года по доходам выполнен в целом на 100,1%, по налоговым и неналоговым доходам на 101,6%, по безвозмездным поступлениям – на 99,6%. </w:t>
      </w:r>
    </w:p>
    <w:p>
      <w:pPr>
        <w:ind w:right="-2" w:firstLine="720"/>
        <w:jc w:val="both"/>
        <w:rPr>
          <w:bCs/>
          <w:sz w:val="24"/>
          <w:szCs w:val="24"/>
        </w:rPr>
      </w:pPr>
      <w:r>
        <w:rPr>
          <w:sz w:val="24"/>
          <w:szCs w:val="24"/>
        </w:rPr>
        <w:t>Налоговые и неналоговые доходы поступили в сумме 1 131 056,62</w:t>
      </w:r>
      <w:r>
        <w:rPr>
          <w:bCs/>
          <w:sz w:val="24"/>
          <w:szCs w:val="24"/>
        </w:rPr>
        <w:t> тыс.руб.</w:t>
      </w:r>
    </w:p>
    <w:p>
      <w:pPr>
        <w:ind w:right="-2" w:firstLine="720"/>
        <w:jc w:val="both"/>
        <w:rPr>
          <w:sz w:val="24"/>
          <w:szCs w:val="24"/>
        </w:rPr>
      </w:pPr>
      <w:r>
        <w:rPr>
          <w:sz w:val="24"/>
          <w:szCs w:val="24"/>
        </w:rPr>
        <w:t>В 2019 году, в сравнении с предыдущим годом, доля налоговых и неналоговых доходов в общей структуре доходов бюджета сократилась с 26% до 25%.</w:t>
      </w:r>
    </w:p>
    <w:p>
      <w:pPr>
        <w:spacing w:before="120" w:after="60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Таблица 4. Сравнительный анализ исполнения бюджета ЗАТО Северск по доходам за 2018-2019 гг.</w:t>
      </w:r>
    </w:p>
    <w:tbl>
      <w:tblPr>
        <w:tblW w:w="9510" w:type="dxa"/>
        <w:tblInd w:w="96" w:type="dxa"/>
        <w:tblLayout w:type="fixed"/>
        <w:tblLook w:val="0000"/>
      </w:tblPr>
      <w:tblGrid>
        <w:gridCol w:w="1572"/>
        <w:gridCol w:w="1275"/>
        <w:gridCol w:w="1276"/>
        <w:gridCol w:w="1276"/>
        <w:gridCol w:w="1276"/>
        <w:gridCol w:w="708"/>
        <w:gridCol w:w="1276"/>
        <w:gridCol w:w="851"/>
      </w:tblGrid>
      <w:tr>
        <w:trPr>
          <w:cantSplit/>
          <w:trHeight w:val="352"/>
        </w:trPr>
        <w:tc>
          <w:tcPr>
            <w:tcW w:w="15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 w:right="-57"/>
              <w:jc w:val="center"/>
            </w:pPr>
            <w:r>
              <w:t>Наименование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>
            <w:pPr>
              <w:ind w:left="-57" w:right="-57"/>
              <w:jc w:val="center"/>
            </w:pPr>
            <w:r>
              <w:t xml:space="preserve">Факт </w:t>
            </w:r>
          </w:p>
          <w:p>
            <w:pPr>
              <w:ind w:left="-57" w:right="-57"/>
              <w:jc w:val="center"/>
            </w:pPr>
            <w:r>
              <w:t>2018 год, тыс.руб.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 w:right="-57"/>
              <w:jc w:val="center"/>
            </w:pPr>
            <w:r>
              <w:t>2019 год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108" w:right="-108"/>
              <w:jc w:val="center"/>
            </w:pPr>
            <w:r>
              <w:t>Отклонение</w:t>
            </w:r>
          </w:p>
          <w:p>
            <w:pPr>
              <w:ind w:left="-108" w:right="-108"/>
              <w:jc w:val="center"/>
            </w:pPr>
            <w:r>
              <w:t>(факт 2019 – факт 2018)</w:t>
            </w:r>
          </w:p>
        </w:tc>
      </w:tr>
      <w:tr>
        <w:trPr>
          <w:cantSplit/>
          <w:trHeight w:val="264"/>
        </w:trPr>
        <w:tc>
          <w:tcPr>
            <w:tcW w:w="15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 w:right="-57"/>
              <w:jc w:val="center"/>
            </w:pPr>
          </w:p>
        </w:tc>
        <w:tc>
          <w:tcPr>
            <w:tcW w:w="1275" w:type="dxa"/>
            <w:vMerge/>
            <w:tcBorders>
              <w:left w:val="nil"/>
              <w:right w:val="single" w:sz="4" w:space="0" w:color="auto"/>
            </w:tcBorders>
            <w:vAlign w:val="center"/>
          </w:tcPr>
          <w:p>
            <w:pPr>
              <w:ind w:left="-57" w:right="-57"/>
              <w:jc w:val="center"/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 w:right="-57"/>
              <w:jc w:val="center"/>
            </w:pPr>
            <w:r>
              <w:t>Прогноз, тыс.руб.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 w:right="-57"/>
              <w:jc w:val="center"/>
            </w:pPr>
            <w:r>
              <w:t>Факт, тыс.руб.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>
            <w:pPr>
              <w:ind w:left="-108" w:right="-108"/>
              <w:jc w:val="center"/>
            </w:pPr>
            <w:r>
              <w:t xml:space="preserve">% исп. </w:t>
            </w:r>
          </w:p>
          <w:p>
            <w:pPr>
              <w:ind w:left="-108" w:right="-108"/>
              <w:jc w:val="center"/>
            </w:pPr>
            <w:r>
              <w:t xml:space="preserve">к </w:t>
            </w:r>
            <w:proofErr w:type="spellStart"/>
            <w:r>
              <w:t>уточн</w:t>
            </w:r>
            <w:proofErr w:type="spellEnd"/>
            <w:r>
              <w:t>.</w:t>
            </w:r>
          </w:p>
          <w:p>
            <w:pPr>
              <w:ind w:left="-57" w:right="-57"/>
              <w:jc w:val="center"/>
            </w:pPr>
            <w:r>
              <w:t>плану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108" w:right="-108"/>
              <w:jc w:val="center"/>
            </w:pPr>
            <w:r>
              <w:t>абсолютное,  тыс</w:t>
            </w:r>
            <w:proofErr w:type="gramStart"/>
            <w:r>
              <w:t>.р</w:t>
            </w:r>
            <w:proofErr w:type="gramEnd"/>
            <w:r>
              <w:t>уб.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108" w:right="-108"/>
              <w:jc w:val="center"/>
            </w:pPr>
            <w:proofErr w:type="gramStart"/>
            <w:r>
              <w:t>относи-тельное</w:t>
            </w:r>
            <w:proofErr w:type="gramEnd"/>
            <w:r>
              <w:t xml:space="preserve">, </w:t>
            </w:r>
          </w:p>
          <w:p>
            <w:pPr>
              <w:ind w:left="-108" w:right="-108"/>
              <w:jc w:val="center"/>
            </w:pPr>
            <w:r>
              <w:t>%</w:t>
            </w:r>
          </w:p>
        </w:tc>
      </w:tr>
      <w:tr>
        <w:trPr>
          <w:trHeight w:val="468"/>
        </w:trPr>
        <w:tc>
          <w:tcPr>
            <w:tcW w:w="15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rPr>
                <w:b/>
                <w:bCs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ind w:left="-57" w:right="-57"/>
              <w:jc w:val="center"/>
              <w:rPr>
                <w:bCs/>
                <w:color w:val="000000"/>
                <w:highlight w:val="yellow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ind w:left="-57" w:right="-57"/>
              <w:jc w:val="center"/>
              <w:rPr>
                <w:bCs/>
                <w:color w:val="000000"/>
              </w:rPr>
            </w:pPr>
            <w:proofErr w:type="spellStart"/>
            <w:proofErr w:type="gramStart"/>
            <w:r>
              <w:t>Первона-чальный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ind w:left="-57" w:right="-57"/>
              <w:jc w:val="center"/>
              <w:rPr>
                <w:bCs/>
                <w:color w:val="000000"/>
              </w:rPr>
            </w:pPr>
            <w:r>
              <w:t>Уточненный</w:t>
            </w: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ind w:left="-57" w:right="-57"/>
              <w:jc w:val="center"/>
              <w:rPr>
                <w:bCs/>
                <w:color w:val="000000"/>
                <w:highlight w:val="yellow"/>
              </w:rPr>
            </w:pPr>
          </w:p>
        </w:tc>
        <w:tc>
          <w:tcPr>
            <w:tcW w:w="70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ind w:left="-57" w:right="-57"/>
              <w:jc w:val="center"/>
              <w:rPr>
                <w:bCs/>
                <w:color w:val="000000"/>
                <w:highlight w:val="yellow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ind w:left="-108" w:right="-108"/>
              <w:jc w:val="center"/>
              <w:rPr>
                <w:bCs/>
                <w:color w:val="000000"/>
                <w:highlight w:val="yellow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ind w:left="-57" w:right="-57"/>
              <w:jc w:val="center"/>
              <w:rPr>
                <w:bCs/>
                <w:color w:val="000000"/>
                <w:highlight w:val="yellow"/>
              </w:rPr>
            </w:pPr>
          </w:p>
        </w:tc>
      </w:tr>
      <w:tr>
        <w:trPr>
          <w:trHeight w:val="180"/>
        </w:trPr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ind w:left="-108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ind w:left="-108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ind w:left="-108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ind w:left="-108" w:right="-108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6=5/4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ind w:left="-108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7=5-2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ind w:left="-108" w:right="-108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8=5/2</w:t>
            </w:r>
          </w:p>
        </w:tc>
      </w:tr>
      <w:tr>
        <w:trPr>
          <w:trHeight w:val="468"/>
        </w:trPr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rPr>
                <w:bCs/>
              </w:rPr>
            </w:pPr>
            <w:r>
              <w:rPr>
                <w:bCs/>
              </w:rPr>
              <w:t>Налоговые и неналоговые доходы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r>
              <w:t>1 100 171,83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ind w:left="-108"/>
              <w:jc w:val="righ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1 066 780,31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ind w:left="-108"/>
              <w:jc w:val="righ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1 113 620,20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ind w:left="-108"/>
              <w:jc w:val="righ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1 131 056,62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ind w:left="-108" w:right="-108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101,6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ind w:left="-108"/>
              <w:jc w:val="righ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30 884,79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ind w:left="-108" w:right="-108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102,8</w:t>
            </w:r>
          </w:p>
        </w:tc>
      </w:tr>
      <w:tr>
        <w:trPr>
          <w:trHeight w:val="480"/>
        </w:trPr>
        <w:tc>
          <w:tcPr>
            <w:tcW w:w="1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rPr>
                <w:bCs/>
              </w:rPr>
            </w:pPr>
            <w:r>
              <w:rPr>
                <w:bCs/>
              </w:rPr>
              <w:t xml:space="preserve">Безвозмездные поступления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r>
              <w:t>3 149 951,90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ind w:left="-108"/>
              <w:jc w:val="righ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1 848 398,50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ind w:left="-108"/>
              <w:jc w:val="righ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3 417 706,32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ind w:left="-108"/>
              <w:jc w:val="righ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3 405 413,15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ind w:left="-108" w:right="-108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99,6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ind w:left="-108"/>
              <w:jc w:val="righ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255 461,25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ind w:left="-108" w:right="-108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108,1</w:t>
            </w:r>
          </w:p>
        </w:tc>
      </w:tr>
      <w:tr>
        <w:trPr>
          <w:trHeight w:val="339"/>
        </w:trPr>
        <w:tc>
          <w:tcPr>
            <w:tcW w:w="1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  <w:t>ИТОГО ДОХОДОВ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b/>
              </w:rPr>
            </w:pPr>
            <w:r>
              <w:rPr>
                <w:b/>
              </w:rPr>
              <w:t>4 250 123,73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ind w:left="-108"/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2 915 178,81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ind w:left="-108"/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4 531 326,52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ind w:left="-108"/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4 536 469,77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ind w:left="-108" w:right="-108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100,1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ind w:left="-108"/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286 346,04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ind w:left="-108" w:right="-108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106,7</w:t>
            </w:r>
          </w:p>
        </w:tc>
      </w:tr>
    </w:tbl>
    <w:p>
      <w:pPr>
        <w:spacing w:before="12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По сравнению с первоначальным прогнозом 2019 года по подгруппе «Налоговые и неналоговые доходы» план увеличен на 46 839,89 тыс.руб. в основном по таким статьям, как «Налог на доходы физических лиц», «Налоги на совокупный доход», «Земельный налог», «Платежи при пользовании природными ресурсами», «Доходы от продажи материальных активов».</w:t>
      </w:r>
    </w:p>
    <w:p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общей структуре доходов бюджета ЗАТО Северск </w:t>
      </w:r>
      <w:r>
        <w:rPr>
          <w:bCs/>
          <w:sz w:val="24"/>
          <w:szCs w:val="24"/>
        </w:rPr>
        <w:t>доля</w:t>
      </w:r>
      <w:r>
        <w:rPr>
          <w:sz w:val="24"/>
          <w:szCs w:val="24"/>
        </w:rPr>
        <w:t xml:space="preserve"> налоговых доходов составляет 21,4 %, неналоговых – 3,5 %, безвозмездных поступлений – 75,1%. </w:t>
      </w:r>
    </w:p>
    <w:p>
      <w:pPr>
        <w:ind w:firstLine="720"/>
        <w:jc w:val="both"/>
        <w:rPr>
          <w:sz w:val="24"/>
          <w:szCs w:val="24"/>
        </w:rPr>
      </w:pPr>
    </w:p>
    <w:p>
      <w:pPr>
        <w:jc w:val="center"/>
        <w:rPr>
          <w:noProof/>
          <w:sz w:val="24"/>
          <w:szCs w:val="24"/>
        </w:rPr>
      </w:pPr>
      <w:r>
        <w:rPr>
          <w:noProof/>
        </w:rPr>
        <w:drawing>
          <wp:inline distT="0" distB="0" distL="0" distR="0">
            <wp:extent cx="4744995" cy="1532238"/>
            <wp:effectExtent l="0" t="0" r="0" b="0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>
      <w:pPr>
        <w:ind w:left="708" w:firstLine="708"/>
        <w:rPr>
          <w:sz w:val="24"/>
          <w:szCs w:val="24"/>
        </w:rPr>
      </w:pPr>
    </w:p>
    <w:p>
      <w:pPr>
        <w:ind w:left="708" w:firstLine="708"/>
        <w:rPr>
          <w:sz w:val="24"/>
          <w:szCs w:val="24"/>
        </w:rPr>
      </w:pPr>
      <w:r>
        <w:rPr>
          <w:sz w:val="24"/>
          <w:szCs w:val="24"/>
        </w:rPr>
        <w:t>Рисунок 5. Структура доходов бюджета ЗАТО Северск в 2019 году</w:t>
      </w:r>
    </w:p>
    <w:p>
      <w:pPr>
        <w:spacing w:before="120"/>
        <w:ind w:firstLine="709"/>
        <w:jc w:val="both"/>
        <w:rPr>
          <w:sz w:val="10"/>
          <w:szCs w:val="10"/>
        </w:rPr>
      </w:pPr>
    </w:p>
    <w:p>
      <w:pPr>
        <w:spacing w:before="12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Сумма задолженности по налоговым и неналоговым доходам по состоянию  на 01.01.2020 составила 63 374,8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 xml:space="preserve">уб.. По сравнению с 01.01.2019 положительная динамика по снижению задолженности на 29 501,1 тыс.руб. или на 31,8%: </w:t>
      </w:r>
    </w:p>
    <w:p>
      <w:pPr>
        <w:spacing w:before="120" w:after="60"/>
        <w:ind w:right="45" w:firstLine="720"/>
        <w:jc w:val="both"/>
        <w:rPr>
          <w:sz w:val="24"/>
          <w:szCs w:val="24"/>
        </w:rPr>
      </w:pPr>
      <w:r>
        <w:rPr>
          <w:sz w:val="24"/>
          <w:szCs w:val="24"/>
        </w:rPr>
        <w:t>Таблица 5. Задолженность по налоговым и неналоговым платежам в бюджет ЗАТО Северск за 2018 - 2019 гг.</w:t>
      </w:r>
    </w:p>
    <w:tbl>
      <w:tblPr>
        <w:tblW w:w="9368" w:type="dxa"/>
        <w:tblInd w:w="96" w:type="dxa"/>
        <w:tblLayout w:type="fixed"/>
        <w:tblLook w:val="0000"/>
      </w:tblPr>
      <w:tblGrid>
        <w:gridCol w:w="3981"/>
        <w:gridCol w:w="1418"/>
        <w:gridCol w:w="1417"/>
        <w:gridCol w:w="1418"/>
        <w:gridCol w:w="1134"/>
      </w:tblGrid>
      <w:tr>
        <w:trPr>
          <w:cantSplit/>
          <w:trHeight w:val="324"/>
        </w:trPr>
        <w:tc>
          <w:tcPr>
            <w:tcW w:w="39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</w:pPr>
            <w:r>
              <w:t>Наименование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ind w:left="-57" w:right="-57"/>
              <w:jc w:val="center"/>
            </w:pPr>
            <w:r>
              <w:rPr>
                <w:bCs/>
              </w:rPr>
              <w:t>Задолженность, тыс.руб.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Отклонение</w:t>
            </w:r>
          </w:p>
        </w:tc>
      </w:tr>
      <w:tr>
        <w:trPr>
          <w:cantSplit/>
          <w:trHeight w:val="226"/>
        </w:trPr>
        <w:tc>
          <w:tcPr>
            <w:tcW w:w="39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ind w:left="-57" w:right="-57"/>
              <w:jc w:val="center"/>
            </w:pPr>
            <w:r>
              <w:t>на 01.01.2019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 w:right="-57"/>
              <w:jc w:val="center"/>
            </w:pPr>
            <w:r>
              <w:t>на 01.01.2020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 w:right="-57"/>
              <w:jc w:val="center"/>
            </w:pPr>
            <w:r>
              <w:t>абсолютное тыс</w:t>
            </w:r>
            <w:proofErr w:type="gramStart"/>
            <w:r>
              <w:t>.р</w:t>
            </w:r>
            <w:proofErr w:type="gramEnd"/>
            <w:r>
              <w:t>уб.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ind w:left="-57" w:right="-57"/>
            </w:pPr>
            <w:proofErr w:type="gramStart"/>
            <w:r>
              <w:t>относи-тельное</w:t>
            </w:r>
            <w:proofErr w:type="gramEnd"/>
            <w:r>
              <w:t xml:space="preserve"> %</w:t>
            </w:r>
          </w:p>
        </w:tc>
      </w:tr>
      <w:tr>
        <w:trPr>
          <w:cantSplit/>
          <w:trHeight w:val="234"/>
        </w:trPr>
        <w:tc>
          <w:tcPr>
            <w:tcW w:w="3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 w:right="-57"/>
              <w:jc w:val="center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/>
              <w:jc w:val="center"/>
            </w:pPr>
            <w: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/>
              <w:jc w:val="center"/>
            </w:pPr>
            <w:r>
              <w:t>4=3-2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/>
              <w:jc w:val="center"/>
            </w:pPr>
            <w:r>
              <w:t>5=3/2</w:t>
            </w:r>
          </w:p>
        </w:tc>
      </w:tr>
      <w:tr>
        <w:trPr>
          <w:cantSplit/>
          <w:trHeight w:val="361"/>
        </w:trPr>
        <w:tc>
          <w:tcPr>
            <w:tcW w:w="3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 w:right="-57" w:firstLine="57"/>
            </w:pPr>
            <w:r>
              <w:t>Налоговые доходы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right"/>
            </w:pPr>
            <w:r>
              <w:t>50 842,3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/>
              <w:jc w:val="right"/>
            </w:pPr>
            <w:r>
              <w:t>30 946,3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/>
              <w:jc w:val="right"/>
              <w:rPr>
                <w:highlight w:val="yellow"/>
              </w:rPr>
            </w:pPr>
            <w:r>
              <w:t>-19 896,0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/>
              <w:jc w:val="center"/>
              <w:rPr>
                <w:highlight w:val="yellow"/>
              </w:rPr>
            </w:pPr>
            <w:r>
              <w:t>60,9</w:t>
            </w:r>
          </w:p>
        </w:tc>
      </w:tr>
      <w:tr>
        <w:trPr>
          <w:cantSplit/>
          <w:trHeight w:val="340"/>
        </w:trPr>
        <w:tc>
          <w:tcPr>
            <w:tcW w:w="3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right="-108"/>
              <w:rPr>
                <w:bCs/>
              </w:rPr>
            </w:pPr>
            <w:r>
              <w:rPr>
                <w:bCs/>
              </w:rPr>
              <w:t>Неналоговые доходы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ind w:left="-113" w:right="34"/>
              <w:jc w:val="right"/>
            </w:pPr>
            <w:r>
              <w:t>42 033,6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113" w:right="33"/>
              <w:jc w:val="right"/>
              <w:rPr>
                <w:bCs/>
              </w:rPr>
            </w:pPr>
            <w:r>
              <w:rPr>
                <w:bCs/>
              </w:rPr>
              <w:t>32 428,5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113" w:right="34"/>
              <w:jc w:val="right"/>
              <w:rPr>
                <w:bCs/>
              </w:rPr>
            </w:pPr>
            <w:r>
              <w:rPr>
                <w:bCs/>
              </w:rPr>
              <w:t>-9 605,1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113" w:right="-57"/>
              <w:jc w:val="center"/>
              <w:rPr>
                <w:bCs/>
              </w:rPr>
            </w:pPr>
            <w:r>
              <w:rPr>
                <w:bCs/>
              </w:rPr>
              <w:t>77,1</w:t>
            </w:r>
          </w:p>
        </w:tc>
      </w:tr>
      <w:tr>
        <w:trPr>
          <w:cantSplit/>
          <w:trHeight w:val="340"/>
        </w:trPr>
        <w:tc>
          <w:tcPr>
            <w:tcW w:w="3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 w:right="-57" w:firstLine="57"/>
            </w:pPr>
            <w:r>
              <w:t>Всего: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right"/>
            </w:pPr>
            <w:r>
              <w:t>92 875,9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/>
              <w:jc w:val="right"/>
            </w:pPr>
            <w:r>
              <w:t>63 374,8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/>
              <w:jc w:val="right"/>
              <w:rPr>
                <w:highlight w:val="yellow"/>
              </w:rPr>
            </w:pPr>
            <w:r>
              <w:t>-29 501,1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/>
              <w:jc w:val="center"/>
              <w:rPr>
                <w:highlight w:val="yellow"/>
              </w:rPr>
            </w:pPr>
            <w:r>
              <w:t>68,2</w:t>
            </w:r>
          </w:p>
        </w:tc>
      </w:tr>
    </w:tbl>
    <w:p>
      <w:pPr>
        <w:spacing w:after="120"/>
        <w:ind w:right="45" w:firstLine="7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3.1. НАЛОГОВЫЕ ДОХОДЫ БЮДЖЕТА ЗАТО СЕВЕРСК</w:t>
      </w:r>
    </w:p>
    <w:p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Налоговые доходы при уточненном прогнозе 962 781,72 тыс.руб. поступили в сумме 970 500,72 тыс.руб., исполнение составило 100,8%, перевыполнение в сумме 7 719,00 тыс.руб.</w:t>
      </w:r>
    </w:p>
    <w:p>
      <w:pPr>
        <w:pStyle w:val="a5"/>
        <w:spacing w:after="0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Удельный вес фактически поступивших налоговых доходов в общей структуре доходов бюджета ЗАТО Северск составляет 21,4%, в налоговых и неналоговых доходах 85,8%.  </w:t>
      </w:r>
    </w:p>
    <w:p>
      <w:pPr>
        <w:spacing w:before="120" w:after="60"/>
        <w:ind w:right="45" w:firstLine="720"/>
        <w:jc w:val="both"/>
        <w:rPr>
          <w:sz w:val="24"/>
          <w:szCs w:val="24"/>
        </w:rPr>
      </w:pPr>
      <w:r>
        <w:rPr>
          <w:sz w:val="24"/>
          <w:szCs w:val="24"/>
        </w:rPr>
        <w:t>Таблица 6. Сравнительный анализ поступления налоговых доходов бюджета ЗАТО Северск за 2018 - 2019 гг.</w:t>
      </w:r>
    </w:p>
    <w:tbl>
      <w:tblPr>
        <w:tblW w:w="9651" w:type="dxa"/>
        <w:tblInd w:w="96" w:type="dxa"/>
        <w:tblLayout w:type="fixed"/>
        <w:tblLook w:val="0000"/>
      </w:tblPr>
      <w:tblGrid>
        <w:gridCol w:w="2280"/>
        <w:gridCol w:w="1134"/>
        <w:gridCol w:w="1134"/>
        <w:gridCol w:w="1134"/>
        <w:gridCol w:w="1134"/>
        <w:gridCol w:w="993"/>
        <w:gridCol w:w="991"/>
        <w:gridCol w:w="851"/>
      </w:tblGrid>
      <w:tr>
        <w:trPr>
          <w:cantSplit/>
          <w:trHeight w:val="324"/>
        </w:trPr>
        <w:tc>
          <w:tcPr>
            <w:tcW w:w="2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</w:pPr>
            <w:r>
              <w:t>Наименование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>
            <w:pPr>
              <w:ind w:left="-57" w:right="-57"/>
              <w:jc w:val="center"/>
              <w:rPr>
                <w:bCs/>
              </w:rPr>
            </w:pPr>
            <w:r>
              <w:rPr>
                <w:bCs/>
              </w:rPr>
              <w:t xml:space="preserve">Факт </w:t>
            </w:r>
          </w:p>
          <w:p>
            <w:pPr>
              <w:ind w:left="-57" w:right="-57"/>
              <w:jc w:val="center"/>
              <w:rPr>
                <w:bCs/>
              </w:rPr>
            </w:pPr>
            <w:r>
              <w:rPr>
                <w:bCs/>
              </w:rPr>
              <w:t>2018 год, тыс.руб.</w:t>
            </w:r>
          </w:p>
        </w:tc>
        <w:tc>
          <w:tcPr>
            <w:tcW w:w="43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 w:right="-57"/>
              <w:jc w:val="center"/>
            </w:pPr>
            <w:r>
              <w:t xml:space="preserve">2019 год, </w:t>
            </w:r>
            <w:r>
              <w:rPr>
                <w:bCs/>
              </w:rPr>
              <w:t>тыс.руб.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Отклонение </w:t>
            </w:r>
          </w:p>
          <w:p>
            <w:pPr>
              <w:ind w:left="-108" w:right="-108"/>
              <w:jc w:val="center"/>
              <w:rPr>
                <w:color w:val="000000"/>
              </w:rPr>
            </w:pPr>
            <w:r>
              <w:rPr>
                <w:color w:val="000000"/>
              </w:rPr>
              <w:t>(факт 2019г. - 2018г.)</w:t>
            </w:r>
          </w:p>
        </w:tc>
      </w:tr>
      <w:tr>
        <w:trPr>
          <w:cantSplit/>
          <w:trHeight w:val="652"/>
        </w:trPr>
        <w:tc>
          <w:tcPr>
            <w:tcW w:w="2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ind w:left="-57" w:right="-57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 w:right="-57"/>
              <w:jc w:val="center"/>
            </w:pPr>
            <w:proofErr w:type="spellStart"/>
            <w:proofErr w:type="gramStart"/>
            <w:r>
              <w:t>Перво-начальный</w:t>
            </w:r>
            <w:proofErr w:type="spellEnd"/>
            <w:proofErr w:type="gramEnd"/>
            <w:r>
              <w:t xml:space="preserve"> прогноз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108" w:right="-108"/>
              <w:jc w:val="center"/>
            </w:pPr>
            <w:r>
              <w:t>Уточненный  прогноз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 w:right="-57"/>
              <w:jc w:val="center"/>
            </w:pPr>
            <w:r>
              <w:t xml:space="preserve">Факт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108" w:right="-108"/>
              <w:jc w:val="center"/>
            </w:pPr>
            <w:proofErr w:type="spellStart"/>
            <w:r>
              <w:t>Откл</w:t>
            </w:r>
            <w:proofErr w:type="gramStart"/>
            <w:r>
              <w:t>о</w:t>
            </w:r>
            <w:proofErr w:type="spellEnd"/>
            <w:r>
              <w:t>-</w:t>
            </w:r>
            <w:proofErr w:type="gramEnd"/>
            <w:r>
              <w:t xml:space="preserve"> </w:t>
            </w:r>
            <w:proofErr w:type="spellStart"/>
            <w:r>
              <w:t>нение</w:t>
            </w:r>
            <w:proofErr w:type="spellEnd"/>
            <w:r>
              <w:t xml:space="preserve"> 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абсолют-ное</w:t>
            </w:r>
            <w:proofErr w:type="spellEnd"/>
            <w:r>
              <w:rPr>
                <w:color w:val="000000"/>
                <w:sz w:val="18"/>
                <w:szCs w:val="18"/>
              </w:rPr>
              <w:t>, тыс</w:t>
            </w:r>
            <w:proofErr w:type="gramStart"/>
            <w:r>
              <w:rPr>
                <w:color w:val="000000"/>
                <w:sz w:val="18"/>
                <w:szCs w:val="18"/>
              </w:rPr>
              <w:t>.р</w:t>
            </w:r>
            <w:proofErr w:type="gramEnd"/>
            <w:r>
              <w:rPr>
                <w:color w:val="000000"/>
                <w:sz w:val="18"/>
                <w:szCs w:val="18"/>
              </w:rPr>
              <w:t>уб.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ind w:left="57" w:right="57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относи-тельное</w:t>
            </w:r>
            <w:proofErr w:type="gramEnd"/>
            <w:r>
              <w:rPr>
                <w:color w:val="000000"/>
                <w:sz w:val="18"/>
                <w:szCs w:val="18"/>
              </w:rPr>
              <w:t>, %</w:t>
            </w:r>
          </w:p>
        </w:tc>
      </w:tr>
      <w:tr>
        <w:trPr>
          <w:cantSplit/>
          <w:trHeight w:val="199"/>
        </w:trPr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 w:right="-10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ind w:left="-57" w:right="-57"/>
              <w:jc w:val="center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 w:right="-57"/>
              <w:jc w:val="center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 w:right="-57"/>
              <w:jc w:val="center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 w:right="-57"/>
              <w:jc w:val="center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 w:right="-57"/>
              <w:jc w:val="center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6=5-4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108" w:right="-57"/>
              <w:jc w:val="center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7=5-2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ind w:left="-57" w:right="-57"/>
              <w:jc w:val="center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8=5/2</w:t>
            </w:r>
          </w:p>
        </w:tc>
      </w:tr>
      <w:tr>
        <w:trPr>
          <w:cantSplit/>
          <w:trHeight w:val="392"/>
        </w:trPr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 w:right="-108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НАЛОГОВЫЕ ДОХОДЫ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right"/>
            </w:pPr>
            <w:r>
              <w:t>902 040,63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right"/>
            </w:pPr>
            <w:r>
              <w:t>932 939,58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right"/>
            </w:pPr>
            <w:r>
              <w:t>962 781,72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right"/>
            </w:pPr>
            <w:r>
              <w:t>970 500,72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right"/>
            </w:pPr>
            <w:r>
              <w:t>7 719,00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jc w:val="right"/>
            </w:pPr>
            <w:r>
              <w:t>68 460,09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jc w:val="right"/>
            </w:pPr>
            <w:r>
              <w:t>107,6</w:t>
            </w:r>
          </w:p>
        </w:tc>
      </w:tr>
      <w:tr>
        <w:trPr>
          <w:cantSplit/>
          <w:trHeight w:val="296"/>
        </w:trPr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 w:right="-57"/>
            </w:pPr>
            <w:r>
              <w:t>НДФЛ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right"/>
            </w:pPr>
            <w:r>
              <w:t>647 496,45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right"/>
            </w:pPr>
            <w:r>
              <w:t>682 128,17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right"/>
            </w:pPr>
            <w:r>
              <w:t>694 628,17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right"/>
            </w:pPr>
            <w:r>
              <w:t>704 442,68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right"/>
            </w:pPr>
            <w:r>
              <w:t>9 814,51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jc w:val="right"/>
            </w:pPr>
            <w:r>
              <w:t>56 946,23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jc w:val="right"/>
            </w:pPr>
            <w:r>
              <w:t>108,8</w:t>
            </w:r>
          </w:p>
        </w:tc>
      </w:tr>
      <w:tr>
        <w:trPr>
          <w:cantSplit/>
          <w:trHeight w:val="284"/>
        </w:trPr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6=5-4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7=5-2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8=5/2</w:t>
            </w:r>
          </w:p>
        </w:tc>
      </w:tr>
      <w:tr>
        <w:trPr>
          <w:cantSplit/>
          <w:trHeight w:val="284"/>
        </w:trPr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 w:right="-57"/>
            </w:pPr>
            <w:r>
              <w:t>Акцизы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right"/>
            </w:pPr>
            <w:r>
              <w:t>7 551,01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right"/>
            </w:pPr>
            <w:r>
              <w:t>8 496,00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right"/>
            </w:pPr>
            <w:r>
              <w:t>8 907,81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right"/>
            </w:pPr>
            <w:r>
              <w:t>8 870,65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right"/>
            </w:pPr>
            <w:r>
              <w:t>-37,16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jc w:val="right"/>
            </w:pPr>
            <w:r>
              <w:t>1 319,64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jc w:val="right"/>
            </w:pPr>
            <w:r>
              <w:t>117,5</w:t>
            </w:r>
          </w:p>
        </w:tc>
      </w:tr>
      <w:tr>
        <w:trPr>
          <w:cantSplit/>
          <w:trHeight w:val="284"/>
        </w:trPr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</w:tcMar>
            <w:vAlign w:val="center"/>
          </w:tcPr>
          <w:p>
            <w:pPr>
              <w:ind w:right="-57"/>
            </w:pPr>
            <w:r>
              <w:t>Налоги на совокупный доход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right"/>
            </w:pPr>
            <w:r>
              <w:t>88 897,99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right"/>
            </w:pPr>
            <w:r>
              <w:t>91 244,41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right"/>
            </w:pPr>
            <w:r>
              <w:t>101 949,74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right"/>
            </w:pPr>
            <w:r>
              <w:t>102 812,29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right"/>
            </w:pPr>
            <w:r>
              <w:t>862,55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jc w:val="right"/>
            </w:pPr>
            <w:r>
              <w:t>13 914,30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jc w:val="right"/>
            </w:pPr>
            <w:r>
              <w:t>115,7</w:t>
            </w:r>
          </w:p>
        </w:tc>
      </w:tr>
      <w:tr>
        <w:trPr>
          <w:cantSplit/>
          <w:trHeight w:val="361"/>
        </w:trPr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 w:right="-57"/>
            </w:pPr>
            <w:r>
              <w:t>Налоги на имущество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right"/>
            </w:pPr>
            <w:r>
              <w:t>145 192,23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right"/>
            </w:pPr>
            <w:r>
              <w:t>138 030,00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right"/>
            </w:pPr>
            <w:r>
              <w:t>143 655,00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right"/>
            </w:pPr>
            <w:r>
              <w:t>140 889,74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right"/>
            </w:pPr>
            <w:r>
              <w:t>-2 765,26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jc w:val="right"/>
            </w:pPr>
            <w:r>
              <w:t>-4 302,49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jc w:val="right"/>
            </w:pPr>
            <w:r>
              <w:t>97,0</w:t>
            </w:r>
          </w:p>
        </w:tc>
      </w:tr>
      <w:tr>
        <w:trPr>
          <w:cantSplit/>
          <w:trHeight w:val="280"/>
        </w:trPr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 w:right="-108"/>
            </w:pPr>
            <w:r>
              <w:t>НДПИ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righ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right"/>
            </w:pPr>
            <w:r>
              <w:t>1,00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right"/>
            </w:pPr>
            <w:r>
              <w:t>1,00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right"/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right"/>
            </w:pPr>
            <w:r>
              <w:t>-1,00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jc w:val="right"/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jc w:val="right"/>
            </w:pPr>
          </w:p>
        </w:tc>
      </w:tr>
      <w:tr>
        <w:trPr>
          <w:cantSplit/>
          <w:trHeight w:val="294"/>
        </w:trPr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 w:right="-57"/>
            </w:pPr>
            <w:r>
              <w:t>Госпошлина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right"/>
            </w:pPr>
            <w:r>
              <w:t>12 902,04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right"/>
            </w:pPr>
            <w:r>
              <w:t>13 040,00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right"/>
            </w:pPr>
            <w:r>
              <w:t>13 640,00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right"/>
            </w:pPr>
            <w:r>
              <w:t>13 485,36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right"/>
            </w:pPr>
            <w:r>
              <w:t>-154,64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jc w:val="right"/>
            </w:pPr>
            <w:r>
              <w:t>583,32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jc w:val="right"/>
            </w:pPr>
            <w:r>
              <w:t>104,5</w:t>
            </w:r>
          </w:p>
        </w:tc>
      </w:tr>
      <w:tr>
        <w:trPr>
          <w:cantSplit/>
          <w:trHeight w:val="386"/>
        </w:trPr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 w:right="-249"/>
            </w:pPr>
            <w:r>
              <w:t>Задолженность и перерасчеты по налогам…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right"/>
            </w:pPr>
            <w:r>
              <w:t>0,91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right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right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right"/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right"/>
            </w:pPr>
            <w:r>
              <w:t>0,00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jc w:val="right"/>
            </w:pPr>
            <w:r>
              <w:t>-0,91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jc w:val="right"/>
            </w:pPr>
            <w:r>
              <w:t>0,0</w:t>
            </w:r>
          </w:p>
        </w:tc>
      </w:tr>
    </w:tbl>
    <w:p>
      <w:pPr>
        <w:ind w:firstLine="720"/>
        <w:jc w:val="both"/>
        <w:rPr>
          <w:sz w:val="16"/>
          <w:szCs w:val="16"/>
          <w:highlight w:val="yellow"/>
        </w:rPr>
      </w:pPr>
    </w:p>
    <w:p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По сравнению с 2018 годом поступление налоговых доходов в бюджет ЗАТО Северск увеличилось на 68 460,09 тыс.руб. и составило 107,6%. Рост налоговых доходов к уровню 2018 года произошел в основном по налогу на доходы физических лиц и налогам на совокупный доход.</w:t>
      </w:r>
    </w:p>
    <w:p>
      <w:pPr>
        <w:ind w:firstLine="720"/>
        <w:jc w:val="both"/>
        <w:rPr>
          <w:sz w:val="24"/>
          <w:szCs w:val="24"/>
        </w:rPr>
      </w:pPr>
    </w:p>
    <w:p>
      <w:pPr>
        <w:jc w:val="center"/>
        <w:rPr>
          <w:color w:val="FF0000"/>
          <w:sz w:val="24"/>
          <w:szCs w:val="24"/>
          <w:highlight w:val="yellow"/>
        </w:rPr>
      </w:pPr>
      <w:r>
        <w:rPr>
          <w:noProof/>
        </w:rPr>
        <w:drawing>
          <wp:inline distT="0" distB="0" distL="0" distR="0">
            <wp:extent cx="5313045" cy="2487827"/>
            <wp:effectExtent l="0" t="0" r="0" b="0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Рисунок 6. Динамика поступлений налоговых доходов в 2018 и 2019 годах </w:t>
      </w:r>
    </w:p>
    <w:p>
      <w:pPr>
        <w:jc w:val="center"/>
        <w:rPr>
          <w:sz w:val="24"/>
          <w:szCs w:val="24"/>
        </w:rPr>
      </w:pP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По налоговым доходам отмечается положительная динамика сокращения задолженности по сравнению с 2018 годом по всем видам налоговых доходов бюджета ЗАТО Северск (основное сокращение – по налогу на доходы физических лиц). Сокращение задолженности обусловлено частичной оплатой налогоплательщиками, а также списанием по основаниям, предусмотренным статьей 59 Налогового кодекса Российской Федерации.</w:t>
      </w:r>
    </w:p>
    <w:p>
      <w:pPr>
        <w:spacing w:before="120" w:after="60"/>
        <w:ind w:right="45" w:firstLine="72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Таблица 7. Задолженность по налоговым платежам в бюджет ЗАТО Северск за 2018 - 2019 гг.</w:t>
      </w:r>
    </w:p>
    <w:tbl>
      <w:tblPr>
        <w:tblW w:w="9368" w:type="dxa"/>
        <w:tblInd w:w="96" w:type="dxa"/>
        <w:tblLayout w:type="fixed"/>
        <w:tblLook w:val="0000"/>
      </w:tblPr>
      <w:tblGrid>
        <w:gridCol w:w="3981"/>
        <w:gridCol w:w="1418"/>
        <w:gridCol w:w="1417"/>
        <w:gridCol w:w="1418"/>
        <w:gridCol w:w="1134"/>
      </w:tblGrid>
      <w:tr>
        <w:trPr>
          <w:cantSplit/>
          <w:trHeight w:val="324"/>
        </w:trPr>
        <w:tc>
          <w:tcPr>
            <w:tcW w:w="39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</w:pPr>
            <w:r>
              <w:t>Наименование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ind w:left="-57" w:right="-57"/>
              <w:jc w:val="center"/>
            </w:pPr>
            <w:r>
              <w:rPr>
                <w:bCs/>
              </w:rPr>
              <w:t>Задолженность, тыс.руб.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Отклонение</w:t>
            </w:r>
          </w:p>
        </w:tc>
      </w:tr>
      <w:tr>
        <w:trPr>
          <w:cantSplit/>
          <w:trHeight w:val="226"/>
        </w:trPr>
        <w:tc>
          <w:tcPr>
            <w:tcW w:w="39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ind w:left="-57" w:right="-57"/>
              <w:jc w:val="center"/>
            </w:pPr>
            <w:r>
              <w:t>на 01.01.2019*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 w:right="-57"/>
              <w:jc w:val="center"/>
            </w:pPr>
            <w:r>
              <w:t>на 01.01.2020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 w:right="-57"/>
              <w:jc w:val="center"/>
            </w:pPr>
            <w:r>
              <w:t>абсолютное тыс</w:t>
            </w:r>
            <w:proofErr w:type="gramStart"/>
            <w:r>
              <w:t>.р</w:t>
            </w:r>
            <w:proofErr w:type="gramEnd"/>
            <w:r>
              <w:t>уб.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ind w:left="-57" w:right="-57"/>
              <w:jc w:val="center"/>
            </w:pPr>
            <w:proofErr w:type="gramStart"/>
            <w:r>
              <w:t>относи-тельное</w:t>
            </w:r>
            <w:proofErr w:type="gramEnd"/>
            <w:r>
              <w:t xml:space="preserve"> %</w:t>
            </w:r>
          </w:p>
        </w:tc>
      </w:tr>
      <w:tr>
        <w:trPr>
          <w:cantSplit/>
          <w:trHeight w:val="361"/>
        </w:trPr>
        <w:tc>
          <w:tcPr>
            <w:tcW w:w="3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 w:right="-57"/>
            </w:pPr>
            <w:r>
              <w:t>Всего по налоговым доходам, из них: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right"/>
            </w:pPr>
            <w:r>
              <w:t>50 842,3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/>
              <w:jc w:val="right"/>
            </w:pPr>
            <w:r>
              <w:t>30 946,3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/>
              <w:jc w:val="right"/>
              <w:rPr>
                <w:highlight w:val="yellow"/>
              </w:rPr>
            </w:pPr>
            <w:r>
              <w:t>-19 896,0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/>
              <w:jc w:val="center"/>
              <w:rPr>
                <w:highlight w:val="yellow"/>
              </w:rPr>
            </w:pPr>
            <w:r>
              <w:t>60,9</w:t>
            </w:r>
          </w:p>
        </w:tc>
      </w:tr>
      <w:tr>
        <w:trPr>
          <w:cantSplit/>
          <w:trHeight w:val="340"/>
        </w:trPr>
        <w:tc>
          <w:tcPr>
            <w:tcW w:w="3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 w:right="-57"/>
            </w:pPr>
            <w:r>
              <w:t>НДФЛ (по нормативу 25%)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right"/>
            </w:pPr>
            <w:r>
              <w:t>26 927,4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/>
              <w:jc w:val="right"/>
            </w:pPr>
            <w:r>
              <w:t>11 584,5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/>
              <w:jc w:val="right"/>
              <w:rPr>
                <w:highlight w:val="yellow"/>
              </w:rPr>
            </w:pPr>
            <w:r>
              <w:t>-15 342,9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/>
              <w:jc w:val="center"/>
              <w:rPr>
                <w:highlight w:val="yellow"/>
              </w:rPr>
            </w:pPr>
            <w:r>
              <w:t>43,0</w:t>
            </w:r>
          </w:p>
        </w:tc>
      </w:tr>
      <w:tr>
        <w:trPr>
          <w:cantSplit/>
          <w:trHeight w:val="340"/>
        </w:trPr>
        <w:tc>
          <w:tcPr>
            <w:tcW w:w="3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 w:right="-57"/>
            </w:pPr>
            <w:r>
              <w:t>Налоги на совокупный доход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right"/>
            </w:pPr>
            <w:r>
              <w:t>7 622,3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/>
              <w:jc w:val="right"/>
            </w:pPr>
            <w:r>
              <w:t>4 739,9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/>
              <w:jc w:val="right"/>
              <w:rPr>
                <w:highlight w:val="yellow"/>
              </w:rPr>
            </w:pPr>
            <w:r>
              <w:t>-2 882,4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/>
              <w:jc w:val="center"/>
              <w:rPr>
                <w:highlight w:val="yellow"/>
              </w:rPr>
            </w:pPr>
            <w:r>
              <w:t>62,2</w:t>
            </w:r>
          </w:p>
        </w:tc>
      </w:tr>
      <w:tr>
        <w:trPr>
          <w:cantSplit/>
          <w:trHeight w:val="340"/>
        </w:trPr>
        <w:tc>
          <w:tcPr>
            <w:tcW w:w="3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 w:right="-57"/>
            </w:pPr>
            <w:r>
              <w:t>Налоги на имущество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right"/>
            </w:pPr>
            <w:r>
              <w:t>16 287,1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/>
              <w:jc w:val="right"/>
            </w:pPr>
            <w:r>
              <w:t>14 617,0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/>
              <w:jc w:val="right"/>
            </w:pPr>
            <w:r>
              <w:t>-1 670,1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/>
              <w:jc w:val="center"/>
              <w:rPr>
                <w:highlight w:val="yellow"/>
              </w:rPr>
            </w:pPr>
            <w:r>
              <w:t>89,7</w:t>
            </w:r>
          </w:p>
        </w:tc>
      </w:tr>
      <w:tr>
        <w:trPr>
          <w:cantSplit/>
          <w:trHeight w:val="340"/>
        </w:trPr>
        <w:tc>
          <w:tcPr>
            <w:tcW w:w="3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 w:right="-57"/>
            </w:pPr>
            <w:r>
              <w:t>Задолженность и перерасчеты по налогам…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right"/>
            </w:pPr>
            <w:r>
              <w:t>5,5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/>
              <w:jc w:val="right"/>
            </w:pPr>
            <w:r>
              <w:t>4,9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/>
              <w:jc w:val="right"/>
            </w:pPr>
            <w:r>
              <w:t>-0,6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/>
              <w:jc w:val="center"/>
              <w:rPr>
                <w:highlight w:val="yellow"/>
              </w:rPr>
            </w:pPr>
            <w:r>
              <w:t>89,1</w:t>
            </w:r>
          </w:p>
        </w:tc>
      </w:tr>
    </w:tbl>
    <w:p>
      <w:pPr>
        <w:spacing w:after="12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* задолженность на 01.01.2019 указана в соответствии с уточненной информацией ИФНС России по ЗАТО Северск Томской области от 04.03.2019 № 03-02/01/01731.</w:t>
      </w:r>
    </w:p>
    <w:p>
      <w:pPr>
        <w:spacing w:after="120"/>
        <w:jc w:val="center"/>
        <w:rPr>
          <w:b/>
        </w:rPr>
      </w:pPr>
    </w:p>
    <w:p>
      <w:pPr>
        <w:spacing w:after="2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3.1.1. Налог на доходы физических лиц</w:t>
      </w:r>
    </w:p>
    <w:p>
      <w:pPr>
        <w:pStyle w:val="a5"/>
        <w:spacing w:after="0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Налог на доходы физических лиц – один из основных источников доходов с территории бюджета ЗАТО Северск. Удельный вес статьи в общей структуре фактически поступивших доходов составляет 15,5%, налоговых и неналоговых доходах – 62,3%.</w:t>
      </w:r>
    </w:p>
    <w:p>
      <w:pPr>
        <w:pStyle w:val="a5"/>
        <w:shd w:val="clear" w:color="auto" w:fill="FFFFFF"/>
        <w:spacing w:after="0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При прогнозной сумме поступлений 694 628,17 тыс.руб., фактически в бюджет поступило 704 442,68 тыс.руб., перевыполнение на 9 814,51 тыс.руб. или на 1,4%.</w:t>
      </w:r>
    </w:p>
    <w:p>
      <w:pPr>
        <w:pStyle w:val="a5"/>
        <w:spacing w:before="120" w:after="60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Таблица 8. Анализ поступления доходов по подстатьям НДФЛ за 2018 - 2019 гг.</w:t>
      </w:r>
    </w:p>
    <w:tbl>
      <w:tblPr>
        <w:tblW w:w="9510" w:type="dxa"/>
        <w:tblInd w:w="96" w:type="dxa"/>
        <w:tblLayout w:type="fixed"/>
        <w:tblLook w:val="0000"/>
      </w:tblPr>
      <w:tblGrid>
        <w:gridCol w:w="3414"/>
        <w:gridCol w:w="1134"/>
        <w:gridCol w:w="993"/>
        <w:gridCol w:w="1134"/>
        <w:gridCol w:w="1134"/>
        <w:gridCol w:w="992"/>
        <w:gridCol w:w="709"/>
      </w:tblGrid>
      <w:tr>
        <w:trPr>
          <w:trHeight w:val="274"/>
        </w:trPr>
        <w:tc>
          <w:tcPr>
            <w:tcW w:w="34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Наименование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ind w:left="-158" w:right="-108"/>
              <w:jc w:val="center"/>
            </w:pPr>
            <w:r>
              <w:t xml:space="preserve">Факт </w:t>
            </w:r>
          </w:p>
          <w:p>
            <w:pPr>
              <w:ind w:left="-158" w:right="-108"/>
              <w:jc w:val="center"/>
            </w:pPr>
            <w:r>
              <w:t>2018 год, тыс.руб.</w:t>
            </w:r>
          </w:p>
        </w:tc>
        <w:tc>
          <w:tcPr>
            <w:tcW w:w="49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a5"/>
              <w:tabs>
                <w:tab w:val="left" w:pos="-192"/>
                <w:tab w:val="left" w:pos="-77"/>
              </w:tabs>
              <w:spacing w:after="0"/>
              <w:ind w:left="-108" w:right="-108"/>
              <w:jc w:val="center"/>
            </w:pPr>
            <w:r>
              <w:t>2019 год</w:t>
            </w:r>
          </w:p>
        </w:tc>
      </w:tr>
      <w:tr>
        <w:trPr>
          <w:trHeight w:val="871"/>
        </w:trPr>
        <w:tc>
          <w:tcPr>
            <w:tcW w:w="34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bCs/>
                <w:iCs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ind w:left="-158" w:right="-108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ind w:left="-158" w:right="-108"/>
              <w:jc w:val="center"/>
            </w:pPr>
            <w:proofErr w:type="spellStart"/>
            <w:r>
              <w:t>Первона-чальный</w:t>
            </w:r>
            <w:proofErr w:type="spellEnd"/>
            <w:r>
              <w:t xml:space="preserve"> прогноз, тыс</w:t>
            </w:r>
            <w:proofErr w:type="gramStart"/>
            <w:r>
              <w:t>.р</w:t>
            </w:r>
            <w:proofErr w:type="gramEnd"/>
            <w:r>
              <w:t>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158" w:right="-108"/>
              <w:jc w:val="center"/>
            </w:pPr>
            <w:r>
              <w:t>Уточненный прогноз,</w:t>
            </w:r>
            <w:r>
              <w:br/>
              <w:t>тыс</w:t>
            </w:r>
            <w:proofErr w:type="gramStart"/>
            <w:r>
              <w:t>.р</w:t>
            </w:r>
            <w:proofErr w:type="gramEnd"/>
            <w:r>
              <w:t>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108" w:right="-108"/>
              <w:jc w:val="center"/>
            </w:pPr>
            <w:r>
              <w:t xml:space="preserve">Факт, </w:t>
            </w:r>
            <w:r>
              <w:br/>
              <w:t>тыс.руб.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pStyle w:val="a5"/>
              <w:tabs>
                <w:tab w:val="left" w:pos="-108"/>
                <w:tab w:val="left" w:pos="-77"/>
              </w:tabs>
              <w:spacing w:after="0"/>
              <w:ind w:left="-108" w:right="-108"/>
              <w:jc w:val="center"/>
            </w:pPr>
            <w:proofErr w:type="spellStart"/>
            <w:proofErr w:type="gramStart"/>
            <w:r>
              <w:t>Откло-нение</w:t>
            </w:r>
            <w:proofErr w:type="spellEnd"/>
            <w:proofErr w:type="gramEnd"/>
          </w:p>
          <w:p>
            <w:pPr>
              <w:pStyle w:val="a5"/>
              <w:tabs>
                <w:tab w:val="left" w:pos="-108"/>
                <w:tab w:val="left" w:pos="-77"/>
              </w:tabs>
              <w:spacing w:after="0"/>
              <w:ind w:left="-108" w:right="-108"/>
              <w:jc w:val="center"/>
            </w:pPr>
            <w:r>
              <w:t>тыс.руб.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pStyle w:val="a5"/>
              <w:tabs>
                <w:tab w:val="left" w:pos="-192"/>
                <w:tab w:val="left" w:pos="-77"/>
              </w:tabs>
              <w:spacing w:after="0"/>
              <w:ind w:left="-108" w:right="-108"/>
              <w:jc w:val="center"/>
            </w:pPr>
            <w:r>
              <w:t>%</w:t>
            </w:r>
          </w:p>
          <w:p>
            <w:pPr>
              <w:pStyle w:val="a5"/>
              <w:tabs>
                <w:tab w:val="left" w:pos="-192"/>
                <w:tab w:val="left" w:pos="0"/>
              </w:tabs>
              <w:spacing w:after="0"/>
              <w:ind w:left="-108" w:right="-108"/>
              <w:jc w:val="center"/>
            </w:pPr>
            <w:proofErr w:type="spellStart"/>
            <w:proofErr w:type="gramStart"/>
            <w:r>
              <w:t>испол-нения</w:t>
            </w:r>
            <w:proofErr w:type="spellEnd"/>
            <w:proofErr w:type="gramEnd"/>
          </w:p>
        </w:tc>
      </w:tr>
      <w:tr>
        <w:trPr>
          <w:trHeight w:val="209"/>
        </w:trPr>
        <w:tc>
          <w:tcPr>
            <w:tcW w:w="3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ind w:left="-158" w:right="-10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ind w:left="-158" w:right="-10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158" w:right="-10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ind w:left="-108" w:right="-10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ind w:left="-76" w:right="-14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6=5-4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ind w:right="-10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7=5/4</w:t>
            </w:r>
          </w:p>
        </w:tc>
      </w:tr>
      <w:tr>
        <w:trPr>
          <w:trHeight w:val="516"/>
        </w:trPr>
        <w:tc>
          <w:tcPr>
            <w:tcW w:w="3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both"/>
              <w:rPr>
                <w:b/>
              </w:rPr>
            </w:pPr>
            <w:r>
              <w:rPr>
                <w:b/>
                <w:bCs/>
              </w:rPr>
              <w:t>Налог на доходы физических лиц (НДФЛ) - 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right"/>
              <w:rPr>
                <w:b/>
              </w:rPr>
            </w:pPr>
            <w:r>
              <w:rPr>
                <w:b/>
              </w:rPr>
              <w:t>647 496,45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ind w:left="-159" w:right="-57"/>
              <w:jc w:val="right"/>
              <w:rPr>
                <w:b/>
              </w:rPr>
            </w:pPr>
            <w:r>
              <w:rPr>
                <w:b/>
              </w:rPr>
              <w:t>682 128,17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159" w:right="-57"/>
              <w:jc w:val="right"/>
              <w:rPr>
                <w:b/>
              </w:rPr>
            </w:pPr>
            <w:r>
              <w:rPr>
                <w:b/>
              </w:rPr>
              <w:t>694 628,17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ind w:left="-159" w:right="-57"/>
              <w:jc w:val="right"/>
              <w:rPr>
                <w:b/>
              </w:rPr>
            </w:pPr>
            <w:r>
              <w:rPr>
                <w:b/>
              </w:rPr>
              <w:t>704 442,68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ind w:left="-159" w:right="-57"/>
              <w:jc w:val="right"/>
              <w:rPr>
                <w:b/>
              </w:rPr>
            </w:pPr>
            <w:r>
              <w:rPr>
                <w:b/>
              </w:rPr>
              <w:t>9 814,51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ind w:left="-57" w:right="-57"/>
              <w:jc w:val="center"/>
              <w:rPr>
                <w:b/>
              </w:rPr>
            </w:pPr>
            <w:r>
              <w:rPr>
                <w:b/>
              </w:rPr>
              <w:t>101,4</w:t>
            </w:r>
          </w:p>
        </w:tc>
      </w:tr>
      <w:tr>
        <w:trPr>
          <w:trHeight w:val="382"/>
        </w:trPr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both"/>
            </w:pPr>
            <w:r>
              <w:t>НДФЛ с доходов в соответствии со статьями 227, 227.1 и 228 НК РФ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right"/>
            </w:pPr>
            <w:r>
              <w:t>640 501,09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ind w:left="-159" w:right="-57"/>
              <w:jc w:val="right"/>
            </w:pPr>
            <w:r>
              <w:t>673 673,26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ind w:left="-159" w:right="-57"/>
              <w:jc w:val="right"/>
            </w:pPr>
            <w:r>
              <w:t>686 173,26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ind w:left="-159" w:right="-57"/>
              <w:jc w:val="right"/>
            </w:pPr>
            <w:r>
              <w:t>695 134,28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ind w:left="-159" w:right="-57"/>
              <w:jc w:val="right"/>
            </w:pPr>
            <w:r>
              <w:t>8 961,02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ind w:left="-57" w:right="-57"/>
              <w:jc w:val="center"/>
            </w:pPr>
            <w:r>
              <w:t>101,3</w:t>
            </w:r>
          </w:p>
        </w:tc>
      </w:tr>
      <w:tr>
        <w:trPr>
          <w:trHeight w:val="468"/>
        </w:trPr>
        <w:tc>
          <w:tcPr>
            <w:tcW w:w="3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both"/>
            </w:pPr>
            <w:r>
              <w:t xml:space="preserve">НДФЛ с доходов… индивидуальных предпринимателей, нотариусов…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right"/>
            </w:pPr>
            <w:r>
              <w:t>2 543,10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ind w:left="-159" w:right="-57"/>
              <w:jc w:val="right"/>
            </w:pPr>
            <w:r>
              <w:t>3 499,81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ind w:left="-159" w:right="-57"/>
              <w:jc w:val="right"/>
            </w:pPr>
            <w:r>
              <w:t>3 499,81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ind w:left="-159" w:right="-57"/>
              <w:jc w:val="right"/>
            </w:pPr>
            <w:r>
              <w:t>2 551,73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ind w:left="-159" w:right="-57"/>
              <w:jc w:val="right"/>
            </w:pPr>
            <w:r>
              <w:t>-948,08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ind w:left="-57" w:right="-57"/>
              <w:jc w:val="center"/>
            </w:pPr>
            <w:r>
              <w:t>72,9</w:t>
            </w:r>
          </w:p>
        </w:tc>
      </w:tr>
      <w:tr>
        <w:trPr>
          <w:trHeight w:val="424"/>
        </w:trPr>
        <w:tc>
          <w:tcPr>
            <w:tcW w:w="3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both"/>
            </w:pPr>
            <w:r>
              <w:t>НДФЛ с доходов в соответствии со статьей 228 НК РФ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right"/>
            </w:pPr>
            <w:r>
              <w:t>4 452,91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ind w:left="-159" w:right="-57"/>
              <w:jc w:val="right"/>
            </w:pPr>
            <w:r>
              <w:t>4 955,10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ind w:left="-159" w:right="-57"/>
              <w:jc w:val="right"/>
            </w:pPr>
            <w:r>
              <w:t>4 955,10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ind w:left="-159" w:right="-57"/>
              <w:jc w:val="right"/>
            </w:pPr>
            <w:r>
              <w:t>6 764,16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ind w:left="-159" w:right="-57"/>
              <w:jc w:val="right"/>
            </w:pPr>
            <w:r>
              <w:t>1 809,06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ind w:left="-57" w:right="-57"/>
              <w:jc w:val="center"/>
            </w:pPr>
            <w:r>
              <w:t>136,5</w:t>
            </w:r>
          </w:p>
        </w:tc>
      </w:tr>
      <w:tr>
        <w:trPr>
          <w:trHeight w:val="574"/>
        </w:trPr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both"/>
            </w:pPr>
            <w:r>
              <w:t>НДФЛ с доходов, полученных физическими лицами, являющимися иностранными гражданами…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right"/>
            </w:pPr>
            <w:r>
              <w:t>-0,65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right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right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ind w:left="-159" w:right="-57"/>
              <w:jc w:val="right"/>
            </w:pPr>
            <w:r>
              <w:t>-7,49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ind w:left="-159" w:right="-57"/>
              <w:jc w:val="right"/>
            </w:pPr>
            <w:r>
              <w:t>-7,49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center"/>
            </w:pPr>
            <w:r>
              <w:t>-</w:t>
            </w:r>
          </w:p>
        </w:tc>
      </w:tr>
    </w:tbl>
    <w:p>
      <w:pPr>
        <w:pStyle w:val="a5"/>
        <w:spacing w:before="240" w:after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Главный администратор доходов по НДФЛ – ИФНС России по ЗАТО Северск Томской области.</w:t>
      </w:r>
    </w:p>
    <w:p>
      <w:pPr>
        <w:pStyle w:val="a5"/>
        <w:spacing w:after="0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Платежи по статье «Налог на доходы физических лиц» в 2018 году в бюджет ЗАТО Северск распределялись по нормативу 36,87% от контингента налога, в том числе 11,87% – дополнительный норматив отчислений согласно Закону Томской области от 29.12.2018 № 151-ОЗ «Об областном бюджете на 2019 год и на плановый период 2020 и 2021 годов». </w:t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Структура поступления НДФЛ по отраслевому признаку традиционна для ЗАТО Северск. Наибольший удельный вес занимает промышленность – 27%, в которой доминирующая позиция за АО «Сибирский химический комбинат» и организаций </w:t>
      </w:r>
      <w:proofErr w:type="spellStart"/>
      <w:r>
        <w:rPr>
          <w:sz w:val="24"/>
          <w:szCs w:val="24"/>
        </w:rPr>
        <w:t>Росатома</w:t>
      </w:r>
      <w:proofErr w:type="spellEnd"/>
      <w:r>
        <w:rPr>
          <w:sz w:val="24"/>
          <w:szCs w:val="24"/>
        </w:rPr>
        <w:t xml:space="preserve"> – 24%. На втором месте - воинские части, правоохранительные учреждения и МЧС.</w:t>
      </w:r>
    </w:p>
    <w:p>
      <w:pPr>
        <w:ind w:firstLine="708"/>
        <w:jc w:val="both"/>
        <w:rPr>
          <w:sz w:val="24"/>
          <w:szCs w:val="24"/>
        </w:rPr>
      </w:pPr>
    </w:p>
    <w:p>
      <w:pPr>
        <w:pStyle w:val="a8"/>
        <w:spacing w:before="120" w:after="60"/>
        <w:ind w:left="284" w:firstLine="425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Таблица 9. Структура поступления НДФЛ в 2019 году по отраслевому признаку </w:t>
      </w:r>
    </w:p>
    <w:tbl>
      <w:tblPr>
        <w:tblW w:w="7513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54"/>
        <w:gridCol w:w="1559"/>
      </w:tblGrid>
      <w:tr>
        <w:trPr>
          <w:trHeight w:val="340"/>
        </w:trPr>
        <w:tc>
          <w:tcPr>
            <w:tcW w:w="5954" w:type="dxa"/>
            <w:vAlign w:val="center"/>
          </w:tcPr>
          <w:p>
            <w:pPr>
              <w:pStyle w:val="a8"/>
              <w:spacing w:after="0"/>
              <w:jc w:val="center"/>
            </w:pPr>
            <w:r>
              <w:t>Наименование отрасли</w:t>
            </w:r>
          </w:p>
        </w:tc>
        <w:tc>
          <w:tcPr>
            <w:tcW w:w="1559" w:type="dxa"/>
            <w:vAlign w:val="center"/>
          </w:tcPr>
          <w:p>
            <w:pPr>
              <w:pStyle w:val="a8"/>
              <w:spacing w:after="0"/>
              <w:ind w:left="-108" w:right="-108"/>
              <w:jc w:val="center"/>
            </w:pPr>
            <w:r>
              <w:t>Удельный вес, %</w:t>
            </w:r>
          </w:p>
        </w:tc>
      </w:tr>
      <w:tr>
        <w:trPr>
          <w:trHeight w:val="284"/>
        </w:trPr>
        <w:tc>
          <w:tcPr>
            <w:tcW w:w="5954" w:type="dxa"/>
          </w:tcPr>
          <w:p>
            <w:pPr>
              <w:pStyle w:val="a8"/>
              <w:spacing w:after="0"/>
              <w:ind w:left="34"/>
            </w:pPr>
            <w:r>
              <w:t>Промышленность</w:t>
            </w:r>
          </w:p>
        </w:tc>
        <w:tc>
          <w:tcPr>
            <w:tcW w:w="1559" w:type="dxa"/>
          </w:tcPr>
          <w:p>
            <w:pPr>
              <w:pStyle w:val="a8"/>
              <w:spacing w:after="0"/>
              <w:ind w:left="284"/>
              <w:jc w:val="center"/>
            </w:pPr>
            <w:r>
              <w:t>27</w:t>
            </w:r>
          </w:p>
        </w:tc>
      </w:tr>
      <w:tr>
        <w:trPr>
          <w:trHeight w:val="284"/>
        </w:trPr>
        <w:tc>
          <w:tcPr>
            <w:tcW w:w="5954" w:type="dxa"/>
          </w:tcPr>
          <w:p>
            <w:pPr>
              <w:pStyle w:val="a8"/>
              <w:spacing w:after="0"/>
              <w:ind w:left="34" w:firstLine="284"/>
              <w:rPr>
                <w:i/>
              </w:rPr>
            </w:pPr>
            <w:r>
              <w:rPr>
                <w:i/>
              </w:rPr>
              <w:t>в т.ч. АО «СХК» и профильные ДЗО</w:t>
            </w:r>
          </w:p>
        </w:tc>
        <w:tc>
          <w:tcPr>
            <w:tcW w:w="1559" w:type="dxa"/>
          </w:tcPr>
          <w:p>
            <w:pPr>
              <w:pStyle w:val="a8"/>
              <w:spacing w:after="0"/>
              <w:ind w:left="284"/>
              <w:jc w:val="center"/>
              <w:rPr>
                <w:i/>
              </w:rPr>
            </w:pPr>
            <w:r>
              <w:rPr>
                <w:i/>
              </w:rPr>
              <w:t>24</w:t>
            </w:r>
          </w:p>
        </w:tc>
      </w:tr>
      <w:tr>
        <w:trPr>
          <w:trHeight w:val="284"/>
        </w:trPr>
        <w:tc>
          <w:tcPr>
            <w:tcW w:w="5954" w:type="dxa"/>
          </w:tcPr>
          <w:p>
            <w:pPr>
              <w:pStyle w:val="a8"/>
              <w:spacing w:after="0"/>
              <w:ind w:left="34"/>
            </w:pPr>
            <w:r>
              <w:t>Воинские части, правоохранительные органы, МЧС, Атом-охрана</w:t>
            </w:r>
          </w:p>
        </w:tc>
        <w:tc>
          <w:tcPr>
            <w:tcW w:w="1559" w:type="dxa"/>
          </w:tcPr>
          <w:p>
            <w:pPr>
              <w:pStyle w:val="a8"/>
              <w:spacing w:after="0"/>
              <w:ind w:left="284"/>
              <w:jc w:val="center"/>
            </w:pPr>
            <w:r>
              <w:t>21</w:t>
            </w:r>
          </w:p>
        </w:tc>
      </w:tr>
      <w:tr>
        <w:trPr>
          <w:trHeight w:val="284"/>
        </w:trPr>
        <w:tc>
          <w:tcPr>
            <w:tcW w:w="5954" w:type="dxa"/>
          </w:tcPr>
          <w:p>
            <w:pPr>
              <w:pStyle w:val="a8"/>
              <w:spacing w:after="0"/>
              <w:ind w:left="34"/>
            </w:pPr>
            <w:r>
              <w:t>Образование (дошкольное, общее, высшее)</w:t>
            </w:r>
          </w:p>
        </w:tc>
        <w:tc>
          <w:tcPr>
            <w:tcW w:w="1559" w:type="dxa"/>
          </w:tcPr>
          <w:p>
            <w:pPr>
              <w:pStyle w:val="a8"/>
              <w:spacing w:after="0"/>
              <w:ind w:left="284"/>
              <w:jc w:val="center"/>
            </w:pPr>
            <w:r>
              <w:t>11</w:t>
            </w:r>
          </w:p>
        </w:tc>
      </w:tr>
      <w:tr>
        <w:trPr>
          <w:trHeight w:val="284"/>
        </w:trPr>
        <w:tc>
          <w:tcPr>
            <w:tcW w:w="5954" w:type="dxa"/>
          </w:tcPr>
          <w:p>
            <w:pPr>
              <w:pStyle w:val="a8"/>
              <w:spacing w:after="0"/>
              <w:ind w:left="34"/>
            </w:pPr>
            <w:r>
              <w:t>Здравоохранение, физическая культура и социальное обеспечение</w:t>
            </w:r>
          </w:p>
        </w:tc>
        <w:tc>
          <w:tcPr>
            <w:tcW w:w="1559" w:type="dxa"/>
          </w:tcPr>
          <w:p>
            <w:pPr>
              <w:pStyle w:val="a8"/>
              <w:spacing w:after="0"/>
              <w:ind w:left="284"/>
              <w:jc w:val="center"/>
            </w:pPr>
            <w:r>
              <w:t>10</w:t>
            </w:r>
          </w:p>
        </w:tc>
      </w:tr>
      <w:tr>
        <w:trPr>
          <w:trHeight w:val="284"/>
        </w:trPr>
        <w:tc>
          <w:tcPr>
            <w:tcW w:w="5954" w:type="dxa"/>
          </w:tcPr>
          <w:p>
            <w:pPr>
              <w:pStyle w:val="a8"/>
              <w:spacing w:after="0"/>
              <w:ind w:left="34"/>
            </w:pPr>
            <w:r>
              <w:t>ЖКХ, ОАО ОТЭК</w:t>
            </w:r>
          </w:p>
        </w:tc>
        <w:tc>
          <w:tcPr>
            <w:tcW w:w="1559" w:type="dxa"/>
          </w:tcPr>
          <w:p>
            <w:pPr>
              <w:pStyle w:val="a8"/>
              <w:spacing w:after="0"/>
              <w:ind w:left="284"/>
              <w:jc w:val="center"/>
            </w:pPr>
            <w:r>
              <w:t>9</w:t>
            </w:r>
          </w:p>
        </w:tc>
      </w:tr>
      <w:tr>
        <w:trPr>
          <w:trHeight w:val="284"/>
        </w:trPr>
        <w:tc>
          <w:tcPr>
            <w:tcW w:w="5954" w:type="dxa"/>
          </w:tcPr>
          <w:p>
            <w:pPr>
              <w:pStyle w:val="a8"/>
              <w:spacing w:after="0"/>
              <w:ind w:left="34"/>
            </w:pPr>
            <w:r>
              <w:t>Транспорт, связь</w:t>
            </w:r>
          </w:p>
        </w:tc>
        <w:tc>
          <w:tcPr>
            <w:tcW w:w="1559" w:type="dxa"/>
          </w:tcPr>
          <w:p>
            <w:pPr>
              <w:pStyle w:val="a8"/>
              <w:spacing w:after="0"/>
              <w:ind w:left="284"/>
              <w:jc w:val="center"/>
            </w:pPr>
            <w:r>
              <w:t>3</w:t>
            </w:r>
          </w:p>
        </w:tc>
      </w:tr>
      <w:tr>
        <w:trPr>
          <w:trHeight w:val="284"/>
        </w:trPr>
        <w:tc>
          <w:tcPr>
            <w:tcW w:w="5954" w:type="dxa"/>
          </w:tcPr>
          <w:p>
            <w:pPr>
              <w:pStyle w:val="a8"/>
              <w:spacing w:after="0"/>
              <w:ind w:left="34"/>
            </w:pPr>
            <w:r>
              <w:t xml:space="preserve">Торговля </w:t>
            </w:r>
          </w:p>
        </w:tc>
        <w:tc>
          <w:tcPr>
            <w:tcW w:w="1559" w:type="dxa"/>
          </w:tcPr>
          <w:p>
            <w:pPr>
              <w:pStyle w:val="a8"/>
              <w:spacing w:after="0"/>
              <w:ind w:left="284"/>
              <w:jc w:val="center"/>
            </w:pPr>
            <w:r>
              <w:t>3</w:t>
            </w:r>
          </w:p>
        </w:tc>
      </w:tr>
      <w:tr>
        <w:trPr>
          <w:trHeight w:val="284"/>
        </w:trPr>
        <w:tc>
          <w:tcPr>
            <w:tcW w:w="5954" w:type="dxa"/>
          </w:tcPr>
          <w:p>
            <w:pPr>
              <w:pStyle w:val="a8"/>
              <w:spacing w:after="0"/>
              <w:ind w:left="34"/>
            </w:pPr>
            <w:r>
              <w:t>Строительство</w:t>
            </w:r>
          </w:p>
        </w:tc>
        <w:tc>
          <w:tcPr>
            <w:tcW w:w="1559" w:type="dxa"/>
          </w:tcPr>
          <w:p>
            <w:pPr>
              <w:pStyle w:val="a8"/>
              <w:spacing w:after="0"/>
              <w:ind w:left="284"/>
              <w:jc w:val="center"/>
            </w:pPr>
            <w:r>
              <w:t>2</w:t>
            </w:r>
          </w:p>
        </w:tc>
      </w:tr>
      <w:tr>
        <w:trPr>
          <w:trHeight w:val="284"/>
        </w:trPr>
        <w:tc>
          <w:tcPr>
            <w:tcW w:w="5954" w:type="dxa"/>
          </w:tcPr>
          <w:p>
            <w:pPr>
              <w:pStyle w:val="a8"/>
              <w:spacing w:after="0"/>
              <w:ind w:left="34"/>
            </w:pPr>
            <w:r>
              <w:t>Органы местного самоуправления</w:t>
            </w:r>
          </w:p>
        </w:tc>
        <w:tc>
          <w:tcPr>
            <w:tcW w:w="1559" w:type="dxa"/>
          </w:tcPr>
          <w:p>
            <w:pPr>
              <w:pStyle w:val="a8"/>
              <w:spacing w:after="0"/>
              <w:ind w:left="284"/>
              <w:jc w:val="center"/>
            </w:pPr>
            <w:r>
              <w:t>3</w:t>
            </w:r>
          </w:p>
        </w:tc>
      </w:tr>
      <w:tr>
        <w:trPr>
          <w:trHeight w:val="284"/>
        </w:trPr>
        <w:tc>
          <w:tcPr>
            <w:tcW w:w="5954" w:type="dxa"/>
          </w:tcPr>
          <w:p>
            <w:pPr>
              <w:pStyle w:val="a8"/>
              <w:spacing w:after="0"/>
              <w:ind w:left="34"/>
            </w:pPr>
            <w:r>
              <w:t>Культура</w:t>
            </w:r>
          </w:p>
        </w:tc>
        <w:tc>
          <w:tcPr>
            <w:tcW w:w="1559" w:type="dxa"/>
          </w:tcPr>
          <w:p>
            <w:pPr>
              <w:pStyle w:val="a8"/>
              <w:spacing w:after="0"/>
              <w:ind w:left="284"/>
              <w:jc w:val="center"/>
            </w:pPr>
            <w:r>
              <w:t>2</w:t>
            </w:r>
          </w:p>
        </w:tc>
      </w:tr>
      <w:tr>
        <w:trPr>
          <w:trHeight w:val="284"/>
        </w:trPr>
        <w:tc>
          <w:tcPr>
            <w:tcW w:w="5954" w:type="dxa"/>
          </w:tcPr>
          <w:p>
            <w:pPr>
              <w:pStyle w:val="a8"/>
              <w:spacing w:after="0"/>
              <w:ind w:left="34"/>
            </w:pPr>
            <w:r>
              <w:t>Прочие</w:t>
            </w:r>
          </w:p>
        </w:tc>
        <w:tc>
          <w:tcPr>
            <w:tcW w:w="1559" w:type="dxa"/>
          </w:tcPr>
          <w:p>
            <w:pPr>
              <w:pStyle w:val="a8"/>
              <w:spacing w:after="0"/>
              <w:ind w:left="284"/>
              <w:jc w:val="center"/>
            </w:pPr>
            <w:r>
              <w:t>9</w:t>
            </w:r>
          </w:p>
        </w:tc>
      </w:tr>
    </w:tbl>
    <w:p>
      <w:pPr>
        <w:pStyle w:val="a8"/>
        <w:spacing w:before="120"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Анализ поступлений НДФЛ в 2019 году показывает, что наибольшая интенсивность поступлений отмечалась в </w:t>
      </w:r>
      <w:r>
        <w:rPr>
          <w:sz w:val="24"/>
          <w:szCs w:val="24"/>
          <w:lang w:val="en-US"/>
        </w:rPr>
        <w:t>IV</w:t>
      </w:r>
      <w:r>
        <w:rPr>
          <w:sz w:val="24"/>
          <w:szCs w:val="24"/>
        </w:rPr>
        <w:t xml:space="preserve"> квартале – 31,4% от годовой суммы, обусловленная выплатами заработной платы в декабре за декабрь. В </w:t>
      </w:r>
      <w:r>
        <w:rPr>
          <w:sz w:val="24"/>
          <w:szCs w:val="24"/>
          <w:lang w:val="en-US"/>
        </w:rPr>
        <w:t>I</w:t>
      </w:r>
      <w:r>
        <w:rPr>
          <w:sz w:val="24"/>
          <w:szCs w:val="24"/>
        </w:rPr>
        <w:t xml:space="preserve"> – </w:t>
      </w:r>
      <w:r>
        <w:rPr>
          <w:sz w:val="24"/>
          <w:szCs w:val="24"/>
          <w:lang w:val="en-US"/>
        </w:rPr>
        <w:t>III</w:t>
      </w:r>
      <w:r>
        <w:rPr>
          <w:sz w:val="24"/>
          <w:szCs w:val="24"/>
        </w:rPr>
        <w:t xml:space="preserve"> кварталах поступления 22% – 24%. </w:t>
      </w:r>
    </w:p>
    <w:tbl>
      <w:tblPr>
        <w:tblStyle w:val="af7"/>
        <w:tblW w:w="98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936"/>
        <w:gridCol w:w="5868"/>
      </w:tblGrid>
      <w:tr>
        <w:tc>
          <w:tcPr>
            <w:tcW w:w="3936" w:type="dxa"/>
          </w:tcPr>
          <w:p>
            <w:pPr>
              <w:pStyle w:val="a8"/>
              <w:spacing w:before="120" w:after="0"/>
              <w:ind w:left="0" w:right="-153"/>
              <w:rPr>
                <w:sz w:val="10"/>
                <w:szCs w:val="10"/>
              </w:rPr>
            </w:pPr>
          </w:p>
          <w:p>
            <w:pPr>
              <w:pStyle w:val="a8"/>
              <w:spacing w:before="120" w:after="0"/>
              <w:ind w:left="0" w:right="-15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Таблица 10. Поступление НДФЛ </w:t>
            </w:r>
          </w:p>
          <w:p>
            <w:pPr>
              <w:pStyle w:val="a8"/>
              <w:spacing w:after="0"/>
              <w:ind w:left="0" w:right="-15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2019 году по месяцам</w:t>
            </w:r>
          </w:p>
        </w:tc>
        <w:tc>
          <w:tcPr>
            <w:tcW w:w="5868" w:type="dxa"/>
          </w:tcPr>
          <w:p>
            <w:pPr>
              <w:ind w:left="-284"/>
              <w:jc w:val="both"/>
              <w:rPr>
                <w:noProof/>
                <w:sz w:val="24"/>
                <w:szCs w:val="24"/>
              </w:rPr>
            </w:pPr>
          </w:p>
        </w:tc>
      </w:tr>
      <w:tr>
        <w:tc>
          <w:tcPr>
            <w:tcW w:w="3936" w:type="dxa"/>
          </w:tcPr>
          <w:tbl>
            <w:tblPr>
              <w:tblW w:w="3410" w:type="dxa"/>
              <w:tblInd w:w="96" w:type="dxa"/>
              <w:tblLook w:val="04A0"/>
            </w:tblPr>
            <w:tblGrid>
              <w:gridCol w:w="1339"/>
              <w:gridCol w:w="1211"/>
              <w:gridCol w:w="860"/>
            </w:tblGrid>
            <w:tr>
              <w:trPr>
                <w:trHeight w:val="429"/>
              </w:trPr>
              <w:tc>
                <w:tcPr>
                  <w:tcW w:w="1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Месяц</w:t>
                  </w:r>
                </w:p>
              </w:tc>
              <w:tc>
                <w:tcPr>
                  <w:tcW w:w="12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Сумма,</w:t>
                  </w:r>
                </w:p>
                <w:p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тыс.руб.</w:t>
                  </w:r>
                </w:p>
              </w:tc>
              <w:tc>
                <w:tcPr>
                  <w:tcW w:w="8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left w:w="57" w:type="dxa"/>
                    <w:right w:w="57" w:type="dxa"/>
                  </w:tcMar>
                  <w:vAlign w:val="center"/>
                  <w:hideMark/>
                </w:tcPr>
                <w:p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Уд</w:t>
                  </w:r>
                  <w:proofErr w:type="gramStart"/>
                  <w:r>
                    <w:rPr>
                      <w:color w:val="000000"/>
                    </w:rPr>
                    <w:t>.</w:t>
                  </w:r>
                  <w:proofErr w:type="gramEnd"/>
                  <w:r>
                    <w:rPr>
                      <w:color w:val="000000"/>
                    </w:rPr>
                    <w:t xml:space="preserve"> </w:t>
                  </w:r>
                  <w:proofErr w:type="gramStart"/>
                  <w:r>
                    <w:rPr>
                      <w:color w:val="000000"/>
                    </w:rPr>
                    <w:t>в</w:t>
                  </w:r>
                  <w:proofErr w:type="gramEnd"/>
                  <w:r>
                    <w:rPr>
                      <w:color w:val="000000"/>
                    </w:rPr>
                    <w:t>ес, %</w:t>
                  </w:r>
                </w:p>
              </w:tc>
            </w:tr>
            <w:tr>
              <w:trPr>
                <w:trHeight w:val="300"/>
              </w:trPr>
              <w:tc>
                <w:tcPr>
                  <w:tcW w:w="133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январь</w:t>
                  </w:r>
                </w:p>
              </w:tc>
              <w:tc>
                <w:tcPr>
                  <w:tcW w:w="12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jc w:val="right"/>
                  </w:pPr>
                  <w:r>
                    <w:t>38 516,92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jc w:val="center"/>
                  </w:pPr>
                  <w:r>
                    <w:t>5,5%</w:t>
                  </w:r>
                </w:p>
              </w:tc>
            </w:tr>
            <w:tr>
              <w:trPr>
                <w:trHeight w:val="300"/>
              </w:trPr>
              <w:tc>
                <w:tcPr>
                  <w:tcW w:w="133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февраль</w:t>
                  </w:r>
                </w:p>
              </w:tc>
              <w:tc>
                <w:tcPr>
                  <w:tcW w:w="12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jc w:val="right"/>
                  </w:pPr>
                  <w:r>
                    <w:t>64 657,45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jc w:val="center"/>
                  </w:pPr>
                  <w:r>
                    <w:t>9,2%</w:t>
                  </w:r>
                </w:p>
              </w:tc>
            </w:tr>
            <w:tr>
              <w:trPr>
                <w:trHeight w:val="300"/>
              </w:trPr>
              <w:tc>
                <w:tcPr>
                  <w:tcW w:w="133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март</w:t>
                  </w:r>
                </w:p>
              </w:tc>
              <w:tc>
                <w:tcPr>
                  <w:tcW w:w="12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jc w:val="right"/>
                  </w:pPr>
                  <w:r>
                    <w:t>52 760,65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jc w:val="center"/>
                  </w:pPr>
                  <w:r>
                    <w:t>7,5%</w:t>
                  </w:r>
                </w:p>
              </w:tc>
            </w:tr>
            <w:tr>
              <w:trPr>
                <w:trHeight w:val="300"/>
              </w:trPr>
              <w:tc>
                <w:tcPr>
                  <w:tcW w:w="133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апрель</w:t>
                  </w:r>
                </w:p>
              </w:tc>
              <w:tc>
                <w:tcPr>
                  <w:tcW w:w="12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jc w:val="right"/>
                  </w:pPr>
                  <w:r>
                    <w:t>64 097,97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jc w:val="center"/>
                  </w:pPr>
                  <w:r>
                    <w:t>9,1%</w:t>
                  </w:r>
                </w:p>
              </w:tc>
            </w:tr>
            <w:tr>
              <w:trPr>
                <w:trHeight w:val="300"/>
              </w:trPr>
              <w:tc>
                <w:tcPr>
                  <w:tcW w:w="133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май</w:t>
                  </w:r>
                </w:p>
              </w:tc>
              <w:tc>
                <w:tcPr>
                  <w:tcW w:w="12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jc w:val="right"/>
                  </w:pPr>
                  <w:r>
                    <w:t>55 316,84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jc w:val="center"/>
                  </w:pPr>
                  <w:r>
                    <w:t>7,8%</w:t>
                  </w:r>
                </w:p>
              </w:tc>
            </w:tr>
            <w:tr>
              <w:trPr>
                <w:trHeight w:val="300"/>
              </w:trPr>
              <w:tc>
                <w:tcPr>
                  <w:tcW w:w="133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июнь</w:t>
                  </w:r>
                </w:p>
              </w:tc>
              <w:tc>
                <w:tcPr>
                  <w:tcW w:w="12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jc w:val="right"/>
                  </w:pPr>
                  <w:r>
                    <w:t>48 849,59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jc w:val="center"/>
                  </w:pPr>
                  <w:r>
                    <w:t>6,9%</w:t>
                  </w:r>
                </w:p>
              </w:tc>
            </w:tr>
            <w:tr>
              <w:trPr>
                <w:trHeight w:val="300"/>
              </w:trPr>
              <w:tc>
                <w:tcPr>
                  <w:tcW w:w="133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июль</w:t>
                  </w:r>
                </w:p>
              </w:tc>
              <w:tc>
                <w:tcPr>
                  <w:tcW w:w="12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jc w:val="right"/>
                  </w:pPr>
                  <w:r>
                    <w:t>55 734,97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jc w:val="center"/>
                  </w:pPr>
                  <w:r>
                    <w:t>7,9%</w:t>
                  </w:r>
                </w:p>
              </w:tc>
            </w:tr>
            <w:tr>
              <w:trPr>
                <w:trHeight w:val="300"/>
              </w:trPr>
              <w:tc>
                <w:tcPr>
                  <w:tcW w:w="133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август</w:t>
                  </w:r>
                </w:p>
              </w:tc>
              <w:tc>
                <w:tcPr>
                  <w:tcW w:w="12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jc w:val="right"/>
                  </w:pPr>
                  <w:r>
                    <w:t>51 837,37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jc w:val="center"/>
                  </w:pPr>
                  <w:r>
                    <w:t>7,3%</w:t>
                  </w:r>
                </w:p>
              </w:tc>
            </w:tr>
            <w:tr>
              <w:trPr>
                <w:trHeight w:val="300"/>
              </w:trPr>
              <w:tc>
                <w:tcPr>
                  <w:tcW w:w="133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сентябрь</w:t>
                  </w:r>
                </w:p>
              </w:tc>
              <w:tc>
                <w:tcPr>
                  <w:tcW w:w="12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jc w:val="right"/>
                  </w:pPr>
                  <w:r>
                    <w:t>51 850,02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jc w:val="center"/>
                  </w:pPr>
                  <w:r>
                    <w:t>7,4%</w:t>
                  </w:r>
                </w:p>
              </w:tc>
            </w:tr>
            <w:tr>
              <w:trPr>
                <w:trHeight w:val="300"/>
              </w:trPr>
              <w:tc>
                <w:tcPr>
                  <w:tcW w:w="133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октябрь</w:t>
                  </w:r>
                </w:p>
              </w:tc>
              <w:tc>
                <w:tcPr>
                  <w:tcW w:w="12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jc w:val="right"/>
                  </w:pPr>
                  <w:r>
                    <w:t>58 252,32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jc w:val="center"/>
                  </w:pPr>
                  <w:r>
                    <w:t>8,3%</w:t>
                  </w:r>
                </w:p>
              </w:tc>
            </w:tr>
            <w:tr>
              <w:trPr>
                <w:trHeight w:val="300"/>
              </w:trPr>
              <w:tc>
                <w:tcPr>
                  <w:tcW w:w="133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ноябрь</w:t>
                  </w:r>
                </w:p>
              </w:tc>
              <w:tc>
                <w:tcPr>
                  <w:tcW w:w="12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jc w:val="right"/>
                  </w:pPr>
                  <w:r>
                    <w:t>57 889,49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jc w:val="center"/>
                  </w:pPr>
                  <w:r>
                    <w:t>8,2%</w:t>
                  </w:r>
                </w:p>
              </w:tc>
            </w:tr>
            <w:tr>
              <w:trPr>
                <w:trHeight w:val="300"/>
              </w:trPr>
              <w:tc>
                <w:tcPr>
                  <w:tcW w:w="133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декабрь</w:t>
                  </w:r>
                </w:p>
              </w:tc>
              <w:tc>
                <w:tcPr>
                  <w:tcW w:w="12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jc w:val="right"/>
                  </w:pPr>
                  <w:r>
                    <w:t>104 679,09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jc w:val="center"/>
                  </w:pPr>
                  <w:r>
                    <w:t>14,9%</w:t>
                  </w:r>
                </w:p>
              </w:tc>
            </w:tr>
            <w:tr>
              <w:trPr>
                <w:trHeight w:val="361"/>
              </w:trPr>
              <w:tc>
                <w:tcPr>
                  <w:tcW w:w="133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Всего</w:t>
                  </w:r>
                </w:p>
              </w:tc>
              <w:tc>
                <w:tcPr>
                  <w:tcW w:w="12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jc w:val="right"/>
                    <w:rPr>
                      <w:b/>
                    </w:rPr>
                  </w:pPr>
                  <w:r>
                    <w:rPr>
                      <w:b/>
                    </w:rPr>
                    <w:t>704 442,68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>
                  <w:pPr>
                    <w:jc w:val="center"/>
                  </w:pPr>
                </w:p>
              </w:tc>
            </w:tr>
          </w:tbl>
          <w:p>
            <w:pPr>
              <w:pStyle w:val="a8"/>
              <w:ind w:left="0" w:right="-2"/>
              <w:rPr>
                <w:sz w:val="24"/>
                <w:szCs w:val="24"/>
              </w:rPr>
            </w:pPr>
          </w:p>
        </w:tc>
        <w:tc>
          <w:tcPr>
            <w:tcW w:w="5868" w:type="dxa"/>
          </w:tcPr>
          <w:p>
            <w:pPr>
              <w:jc w:val="both"/>
              <w:rPr>
                <w:sz w:val="12"/>
                <w:szCs w:val="12"/>
                <w:highlight w:val="lightGray"/>
              </w:rPr>
            </w:pPr>
            <w:r>
              <w:rPr>
                <w:noProof/>
              </w:rPr>
              <w:drawing>
                <wp:inline distT="0" distB="0" distL="0" distR="0">
                  <wp:extent cx="3488267" cy="2531110"/>
                  <wp:effectExtent l="0" t="0" r="0" b="0"/>
                  <wp:docPr id="2" name="Диаграмма 2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4"/>
                    </a:graphicData>
                  </a:graphic>
                </wp:inline>
              </w:drawing>
            </w:r>
          </w:p>
          <w:p>
            <w:pPr>
              <w:ind w:left="-1276"/>
              <w:jc w:val="both"/>
              <w:rPr>
                <w:sz w:val="24"/>
                <w:szCs w:val="24"/>
                <w:highlight w:val="lightGray"/>
              </w:rPr>
            </w:pPr>
          </w:p>
          <w:p>
            <w:pPr>
              <w:ind w:right="232"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Рисунок 7. Поступление НДФЛ в 2019 году  по месяцам</w:t>
            </w:r>
          </w:p>
        </w:tc>
      </w:tr>
    </w:tbl>
    <w:p>
      <w:pPr>
        <w:spacing w:before="120"/>
        <w:ind w:firstLine="709"/>
        <w:jc w:val="both"/>
        <w:rPr>
          <w:sz w:val="24"/>
          <w:szCs w:val="24"/>
        </w:rPr>
      </w:pPr>
    </w:p>
    <w:p>
      <w:pPr>
        <w:spacing w:before="12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Объем поступлений НДФЛ за 2019 год, по сравнению с 2018 годом, увеличился в целом на 56 946,23 тыс.руб., в том числе на 31 104,86 тыс.руб. за счет роста дополнительного норматива отчислений от НДФЛ взамен части дотации на выравнивание бюджетной обеспеченности муниципальных образований с 10,18% в 2018 году до 11,87% в 2019 году.</w:t>
      </w:r>
    </w:p>
    <w:p>
      <w:pPr>
        <w:spacing w:before="120"/>
        <w:ind w:firstLine="709"/>
        <w:jc w:val="both"/>
        <w:rPr>
          <w:sz w:val="24"/>
          <w:szCs w:val="24"/>
          <w:lang w:eastAsia="ar-SA"/>
        </w:rPr>
      </w:pPr>
      <w:r>
        <w:rPr>
          <w:sz w:val="24"/>
          <w:szCs w:val="24"/>
        </w:rPr>
        <w:t xml:space="preserve">На увеличение поступлений по налогу повлияли принятые решения по увеличению фонда оплаты труда работникам бюджетной сферы в связи с: </w:t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1) вступлением в силу Федерального закона Российской Федерации от 25.12.2018 № 481-ФЗ «О внесении изменения в статью 1 Федерального закона «О минимальном размере оплаты труда»;</w:t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2) повышением окладов на 45% согласно Постановлению Администрации Томской области от 26.12.2018 № 496а «О внесении изменений в отдельные постановления Администрации Томской области»;</w:t>
      </w:r>
    </w:p>
    <w:p>
      <w:pPr>
        <w:ind w:firstLine="708"/>
        <w:jc w:val="both"/>
        <w:rPr>
          <w:sz w:val="28"/>
          <w:szCs w:val="28"/>
          <w:lang w:eastAsia="ar-SA"/>
        </w:rPr>
      </w:pPr>
      <w:r>
        <w:rPr>
          <w:sz w:val="24"/>
          <w:szCs w:val="24"/>
        </w:rPr>
        <w:t xml:space="preserve">3) индексацией с 1 октября 2019 года на 4,3% оплаты труда работников органов местного самоуправления, а также прочих категорий работников, не подпадающих под действие указов Президента, согласно Закону Томской области от 31.10.2019 № 1906 «О внесении изменений в закон Томской области «Об областном бюджете на 2019 год и на плановый период 2020 и 2021годов». </w:t>
      </w:r>
      <w:r>
        <w:rPr>
          <w:sz w:val="24"/>
          <w:szCs w:val="24"/>
        </w:rPr>
        <w:br/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3.1.2. Акцизы по подакцизным товарам (продукции), </w:t>
      </w:r>
    </w:p>
    <w:p>
      <w:pPr>
        <w:spacing w:after="120"/>
        <w:jc w:val="center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производимым</w:t>
      </w:r>
      <w:proofErr w:type="gramEnd"/>
      <w:r>
        <w:rPr>
          <w:b/>
          <w:sz w:val="24"/>
          <w:szCs w:val="24"/>
        </w:rPr>
        <w:t xml:space="preserve"> на территории Российской Федерации</w:t>
      </w:r>
    </w:p>
    <w:p>
      <w:pPr>
        <w:pStyle w:val="a5"/>
        <w:spacing w:before="240" w:after="0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Прогноз поступлений по данной статье составлял 8 907,81 тыс.руб., фактическое исполнение – 8 870,65 тыс.руб., невыполнение на 37,16 тыс.руб. или на 0,4%.</w:t>
      </w:r>
    </w:p>
    <w:p>
      <w:pPr>
        <w:pStyle w:val="a5"/>
        <w:spacing w:after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Главный администратор доходов от акцизов по подакцизным товарам – Управление Федерального казначейства по Томской области.</w:t>
      </w:r>
    </w:p>
    <w:p>
      <w:pPr>
        <w:pStyle w:val="a5"/>
        <w:spacing w:before="120" w:after="6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Удельный вес статьи в общей структуре фактически поступивших доходов составляет 0,2%, налоговых и неналоговых доходах - 0,8%.  </w:t>
      </w:r>
    </w:p>
    <w:p>
      <w:pPr>
        <w:pStyle w:val="a5"/>
        <w:spacing w:before="120" w:after="6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Таблица 11. Анализ поступления доходов от уплаты акцизов по подстатьям за 2018 - 2019 гг.</w:t>
      </w:r>
    </w:p>
    <w:tbl>
      <w:tblPr>
        <w:tblW w:w="9474" w:type="dxa"/>
        <w:tblInd w:w="96" w:type="dxa"/>
        <w:tblLook w:val="0000"/>
      </w:tblPr>
      <w:tblGrid>
        <w:gridCol w:w="3101"/>
        <w:gridCol w:w="986"/>
        <w:gridCol w:w="1169"/>
        <w:gridCol w:w="1276"/>
        <w:gridCol w:w="1135"/>
        <w:gridCol w:w="1096"/>
        <w:gridCol w:w="711"/>
      </w:tblGrid>
      <w:tr>
        <w:trPr>
          <w:trHeight w:val="235"/>
        </w:trPr>
        <w:tc>
          <w:tcPr>
            <w:tcW w:w="31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 w:right="-57"/>
              <w:jc w:val="center"/>
            </w:pPr>
            <w:r>
              <w:t>Наименование</w:t>
            </w:r>
          </w:p>
        </w:tc>
        <w:tc>
          <w:tcPr>
            <w:tcW w:w="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158" w:right="-108"/>
              <w:jc w:val="center"/>
            </w:pPr>
            <w:r>
              <w:t xml:space="preserve">Факт </w:t>
            </w:r>
          </w:p>
          <w:p>
            <w:pPr>
              <w:ind w:left="-158" w:right="-108"/>
              <w:jc w:val="center"/>
            </w:pPr>
            <w:r>
              <w:t>2018 год, тыс.руб.</w:t>
            </w:r>
          </w:p>
        </w:tc>
        <w:tc>
          <w:tcPr>
            <w:tcW w:w="53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pStyle w:val="a5"/>
              <w:tabs>
                <w:tab w:val="left" w:pos="-192"/>
                <w:tab w:val="left" w:pos="-77"/>
              </w:tabs>
              <w:spacing w:after="0"/>
              <w:ind w:left="-108" w:right="-108"/>
              <w:jc w:val="center"/>
            </w:pPr>
            <w:r>
              <w:t>2019 год</w:t>
            </w:r>
          </w:p>
        </w:tc>
      </w:tr>
      <w:tr>
        <w:trPr>
          <w:trHeight w:val="612"/>
        </w:trPr>
        <w:tc>
          <w:tcPr>
            <w:tcW w:w="31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 w:right="-57"/>
              <w:jc w:val="center"/>
            </w:pPr>
          </w:p>
        </w:tc>
        <w:tc>
          <w:tcPr>
            <w:tcW w:w="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158" w:right="-108"/>
              <w:jc w:val="center"/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ind w:left="-158" w:right="-108"/>
              <w:jc w:val="center"/>
            </w:pPr>
            <w:proofErr w:type="spellStart"/>
            <w:r>
              <w:t>Первона-чальный</w:t>
            </w:r>
            <w:proofErr w:type="spellEnd"/>
            <w:r>
              <w:t xml:space="preserve"> прогноз, тыс</w:t>
            </w:r>
            <w:proofErr w:type="gramStart"/>
            <w:r>
              <w:t>.р</w:t>
            </w:r>
            <w:proofErr w:type="gramEnd"/>
            <w:r>
              <w:t>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158" w:right="-108"/>
              <w:jc w:val="center"/>
            </w:pPr>
            <w:r>
              <w:t>Уточненный прогноз,</w:t>
            </w:r>
            <w:r>
              <w:br/>
              <w:t>тыс</w:t>
            </w:r>
            <w:proofErr w:type="gramStart"/>
            <w:r>
              <w:t>.р</w:t>
            </w:r>
            <w:proofErr w:type="gramEnd"/>
            <w:r>
              <w:t>уб.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108" w:right="-108"/>
              <w:jc w:val="center"/>
            </w:pPr>
            <w:r>
              <w:t xml:space="preserve">Факт, </w:t>
            </w:r>
            <w:r>
              <w:br/>
              <w:t>тыс.руб.</w:t>
            </w:r>
          </w:p>
        </w:tc>
        <w:tc>
          <w:tcPr>
            <w:tcW w:w="1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pStyle w:val="a5"/>
              <w:tabs>
                <w:tab w:val="left" w:pos="-108"/>
                <w:tab w:val="left" w:pos="-77"/>
              </w:tabs>
              <w:spacing w:after="0"/>
              <w:ind w:left="-108" w:right="-108"/>
              <w:jc w:val="center"/>
            </w:pPr>
            <w:r>
              <w:t>Отклонение</w:t>
            </w:r>
          </w:p>
          <w:p>
            <w:pPr>
              <w:pStyle w:val="a5"/>
              <w:tabs>
                <w:tab w:val="left" w:pos="-108"/>
                <w:tab w:val="left" w:pos="-77"/>
              </w:tabs>
              <w:spacing w:after="0"/>
              <w:ind w:left="-108" w:right="-108"/>
              <w:jc w:val="center"/>
            </w:pPr>
            <w:r>
              <w:t>тыс.руб.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pStyle w:val="a5"/>
              <w:tabs>
                <w:tab w:val="left" w:pos="-192"/>
                <w:tab w:val="left" w:pos="-77"/>
              </w:tabs>
              <w:spacing w:after="0"/>
              <w:ind w:left="-108" w:right="-108"/>
              <w:jc w:val="center"/>
            </w:pPr>
            <w:r>
              <w:t>%</w:t>
            </w:r>
          </w:p>
          <w:p>
            <w:pPr>
              <w:pStyle w:val="a5"/>
              <w:tabs>
                <w:tab w:val="left" w:pos="-192"/>
                <w:tab w:val="left" w:pos="0"/>
              </w:tabs>
              <w:spacing w:after="0"/>
              <w:ind w:left="-108" w:right="-108"/>
              <w:jc w:val="center"/>
            </w:pPr>
            <w:proofErr w:type="spellStart"/>
            <w:proofErr w:type="gramStart"/>
            <w:r>
              <w:t>испол-нения</w:t>
            </w:r>
            <w:proofErr w:type="spellEnd"/>
            <w:proofErr w:type="gramEnd"/>
          </w:p>
        </w:tc>
      </w:tr>
      <w:tr>
        <w:trPr>
          <w:trHeight w:val="211"/>
        </w:trPr>
        <w:tc>
          <w:tcPr>
            <w:tcW w:w="3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ind w:left="-76" w:right="-14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6=5-4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ind w:right="-10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7=5/4</w:t>
            </w:r>
          </w:p>
        </w:tc>
      </w:tr>
      <w:tr>
        <w:trPr>
          <w:trHeight w:val="672"/>
        </w:trPr>
        <w:tc>
          <w:tcPr>
            <w:tcW w:w="3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Акцизы по подакцизным товарам (продукции), производимым на территории Российской Федерации, </w:t>
            </w:r>
          </w:p>
          <w:p>
            <w:pPr>
              <w:rPr>
                <w:bCs/>
              </w:rPr>
            </w:pPr>
            <w:r>
              <w:t>в том числе: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right"/>
            </w:pPr>
            <w:r>
              <w:t>7 551,01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right"/>
            </w:pPr>
            <w:r>
              <w:t>8 496,00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right"/>
            </w:pPr>
            <w:r>
              <w:t>8 907,81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right"/>
            </w:pPr>
            <w:r>
              <w:t>8 870,65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right"/>
            </w:pPr>
            <w:r>
              <w:t>-37,16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center"/>
            </w:pPr>
            <w:r>
              <w:t>99,6</w:t>
            </w:r>
          </w:p>
        </w:tc>
      </w:tr>
      <w:tr>
        <w:trPr>
          <w:trHeight w:val="540"/>
        </w:trPr>
        <w:tc>
          <w:tcPr>
            <w:tcW w:w="3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r>
              <w:t>Доходы от уплаты акцизов на дизельное топливо…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right"/>
            </w:pPr>
            <w:r>
              <w:t>3 364,47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right"/>
            </w:pPr>
            <w:r>
              <w:t>3 733,00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right"/>
            </w:pPr>
            <w:r>
              <w:t>4 068,69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right"/>
            </w:pPr>
            <w:r>
              <w:t>4 037,77</w:t>
            </w:r>
          </w:p>
        </w:tc>
        <w:tc>
          <w:tcPr>
            <w:tcW w:w="1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right"/>
            </w:pPr>
            <w:r>
              <w:t>-30,92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center"/>
            </w:pPr>
            <w:r>
              <w:t>99,2</w:t>
            </w:r>
          </w:p>
        </w:tc>
      </w:tr>
      <w:tr>
        <w:trPr>
          <w:trHeight w:val="548"/>
        </w:trPr>
        <w:tc>
          <w:tcPr>
            <w:tcW w:w="3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r>
              <w:t>Доходы от уплаты акцизов на моторные масла…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right"/>
            </w:pPr>
            <w:r>
              <w:t>32,40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right"/>
            </w:pPr>
            <w:r>
              <w:t>25,00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right"/>
            </w:pPr>
            <w:r>
              <w:t>21,99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right"/>
            </w:pPr>
            <w:r>
              <w:t>29,68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right"/>
            </w:pPr>
            <w:r>
              <w:t>7,69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center"/>
            </w:pPr>
            <w:r>
              <w:t>135,0</w:t>
            </w:r>
          </w:p>
        </w:tc>
      </w:tr>
      <w:tr>
        <w:trPr>
          <w:trHeight w:val="556"/>
        </w:trPr>
        <w:tc>
          <w:tcPr>
            <w:tcW w:w="3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r>
              <w:t>Доходы от уплаты акцизов на автомобильный бензин…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right"/>
            </w:pPr>
            <w:r>
              <w:t>4 907,97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right"/>
            </w:pPr>
            <w:r>
              <w:t>5 487,00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right"/>
            </w:pPr>
            <w:r>
              <w:t>5 450,03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right"/>
            </w:pPr>
            <w:r>
              <w:t>5 394,48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right"/>
            </w:pPr>
            <w:r>
              <w:t>-55,55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center"/>
            </w:pPr>
            <w:r>
              <w:t>99,0</w:t>
            </w:r>
          </w:p>
        </w:tc>
      </w:tr>
      <w:tr>
        <w:trPr>
          <w:trHeight w:val="564"/>
        </w:trPr>
        <w:tc>
          <w:tcPr>
            <w:tcW w:w="3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r>
              <w:t>Доходы от уплаты акцизов на прямогонный бензин …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right"/>
            </w:pPr>
            <w:r>
              <w:t>-753,83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right"/>
            </w:pPr>
            <w:r>
              <w:t>-749,00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right"/>
            </w:pPr>
            <w:r>
              <w:t>-632,90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right"/>
            </w:pPr>
            <w:r>
              <w:t>-591,28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right"/>
            </w:pPr>
            <w:r>
              <w:t>41,62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center"/>
            </w:pPr>
            <w:r>
              <w:t>93,4</w:t>
            </w:r>
          </w:p>
        </w:tc>
      </w:tr>
    </w:tbl>
    <w:p>
      <w:pPr>
        <w:pStyle w:val="a5"/>
        <w:spacing w:before="120" w:after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Налог зачислялся в бюджет ЗАТО Северск в 2019 году по дифференцированному нормативу отчислений в размере 0,33997%, установленному Законом Томской области от 29.12.2018 № 151-ОЗ «Об областном бюджете на 2019 год и на плановый период 2020 и 2021 годов», исходя из протяженности автомобильных дорог местного значения, находящихся в собственности муниципальных образований.</w:t>
      </w:r>
    </w:p>
    <w:p>
      <w:pPr>
        <w:jc w:val="center"/>
        <w:rPr>
          <w:b/>
          <w:sz w:val="28"/>
          <w:szCs w:val="28"/>
          <w:highlight w:val="yellow"/>
        </w:rPr>
      </w:pP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3.1.3. Налог, взимаемый в связи с применением </w:t>
      </w:r>
    </w:p>
    <w:p>
      <w:pPr>
        <w:spacing w:after="2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упрощенной системы налогообложения</w:t>
      </w:r>
    </w:p>
    <w:p>
      <w:pPr>
        <w:pStyle w:val="a5"/>
        <w:spacing w:after="0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Прогноз поступлений по статье «Налог, взимаемый в связи с применением упрощенной системы налогообложения» (далее – УСН) составлял 56 438,00 тыс.руб., фактическое исполнение – 56 743,89 тыс.руб., перевыполнение на 305,89 тыс.руб. или на 0,5%. </w:t>
      </w:r>
    </w:p>
    <w:p>
      <w:pPr>
        <w:pStyle w:val="a5"/>
        <w:spacing w:after="0"/>
        <w:ind w:firstLine="720"/>
        <w:jc w:val="both"/>
        <w:rPr>
          <w:sz w:val="24"/>
          <w:szCs w:val="24"/>
        </w:rPr>
      </w:pPr>
    </w:p>
    <w:p>
      <w:pPr>
        <w:spacing w:before="120" w:after="60"/>
        <w:ind w:right="45" w:firstLine="72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Таблица 12. Анализ поступления налога, взимаемого в связи с применением УСН за 2018 – 2019 гг.</w:t>
      </w:r>
    </w:p>
    <w:tbl>
      <w:tblPr>
        <w:tblW w:w="9510" w:type="dxa"/>
        <w:tblInd w:w="96" w:type="dxa"/>
        <w:tblLayout w:type="fixed"/>
        <w:tblLook w:val="0000"/>
      </w:tblPr>
      <w:tblGrid>
        <w:gridCol w:w="2847"/>
        <w:gridCol w:w="1134"/>
        <w:gridCol w:w="1276"/>
        <w:gridCol w:w="1276"/>
        <w:gridCol w:w="1134"/>
        <w:gridCol w:w="1134"/>
        <w:gridCol w:w="709"/>
      </w:tblGrid>
      <w:tr>
        <w:trPr>
          <w:cantSplit/>
          <w:trHeight w:val="217"/>
        </w:trPr>
        <w:tc>
          <w:tcPr>
            <w:tcW w:w="28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</w:pPr>
            <w:r>
              <w:t>Наименование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>
            <w:pPr>
              <w:ind w:left="-57" w:right="-57"/>
              <w:jc w:val="center"/>
              <w:rPr>
                <w:bCs/>
              </w:rPr>
            </w:pPr>
            <w:r>
              <w:rPr>
                <w:bCs/>
              </w:rPr>
              <w:t xml:space="preserve">Факт </w:t>
            </w:r>
          </w:p>
          <w:p>
            <w:pPr>
              <w:ind w:left="-57" w:right="-57"/>
              <w:jc w:val="center"/>
              <w:rPr>
                <w:bCs/>
              </w:rPr>
            </w:pPr>
            <w:r>
              <w:rPr>
                <w:bCs/>
              </w:rPr>
              <w:t>2018 год, тыс.руб.</w:t>
            </w:r>
          </w:p>
        </w:tc>
        <w:tc>
          <w:tcPr>
            <w:tcW w:w="552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 w:right="-57"/>
              <w:jc w:val="center"/>
            </w:pPr>
            <w:r>
              <w:t>2019 год</w:t>
            </w:r>
          </w:p>
        </w:tc>
      </w:tr>
      <w:tr>
        <w:trPr>
          <w:cantSplit/>
          <w:trHeight w:val="830"/>
        </w:trPr>
        <w:tc>
          <w:tcPr>
            <w:tcW w:w="28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ind w:left="-57" w:right="-57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ind w:left="-158" w:right="-108"/>
              <w:jc w:val="center"/>
            </w:pPr>
            <w:proofErr w:type="spellStart"/>
            <w:r>
              <w:t>Первона-чальный</w:t>
            </w:r>
            <w:proofErr w:type="spellEnd"/>
            <w:r>
              <w:t xml:space="preserve"> прогноз, тыс</w:t>
            </w:r>
            <w:proofErr w:type="gramStart"/>
            <w:r>
              <w:t>.р</w:t>
            </w:r>
            <w:proofErr w:type="gramEnd"/>
            <w:r>
              <w:t>уб.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158" w:right="-108"/>
              <w:jc w:val="center"/>
            </w:pPr>
            <w:r>
              <w:t>Уточненный прогноз,</w:t>
            </w:r>
            <w:r>
              <w:br/>
              <w:t>тыс</w:t>
            </w:r>
            <w:proofErr w:type="gramStart"/>
            <w:r>
              <w:t>.р</w:t>
            </w:r>
            <w:proofErr w:type="gramEnd"/>
            <w:r>
              <w:t>уб.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108" w:right="-108"/>
              <w:jc w:val="center"/>
            </w:pPr>
            <w:r>
              <w:t xml:space="preserve">Факт, </w:t>
            </w:r>
            <w:r>
              <w:br/>
              <w:t>тыс.руб.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pStyle w:val="a5"/>
              <w:tabs>
                <w:tab w:val="left" w:pos="-108"/>
                <w:tab w:val="left" w:pos="-77"/>
              </w:tabs>
              <w:spacing w:after="0"/>
              <w:ind w:left="-108" w:right="-108"/>
              <w:jc w:val="center"/>
            </w:pPr>
            <w:r>
              <w:t>Отклонение</w:t>
            </w:r>
          </w:p>
          <w:p>
            <w:pPr>
              <w:pStyle w:val="a5"/>
              <w:tabs>
                <w:tab w:val="left" w:pos="-108"/>
                <w:tab w:val="left" w:pos="-77"/>
              </w:tabs>
              <w:spacing w:after="0"/>
              <w:ind w:left="-108" w:right="-108"/>
              <w:jc w:val="center"/>
            </w:pPr>
            <w:r>
              <w:t>тыс.руб.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a5"/>
              <w:tabs>
                <w:tab w:val="left" w:pos="-192"/>
                <w:tab w:val="left" w:pos="-77"/>
              </w:tabs>
              <w:spacing w:after="0"/>
              <w:ind w:left="-108" w:right="-108"/>
              <w:jc w:val="center"/>
            </w:pPr>
            <w:r>
              <w:t>%</w:t>
            </w:r>
          </w:p>
          <w:p>
            <w:pPr>
              <w:pStyle w:val="a5"/>
              <w:tabs>
                <w:tab w:val="left" w:pos="-192"/>
                <w:tab w:val="left" w:pos="0"/>
              </w:tabs>
              <w:spacing w:after="0"/>
              <w:ind w:left="-108" w:right="-108"/>
              <w:jc w:val="center"/>
            </w:pPr>
            <w:proofErr w:type="spellStart"/>
            <w:proofErr w:type="gramStart"/>
            <w:r>
              <w:t>испол-нения</w:t>
            </w:r>
            <w:proofErr w:type="spellEnd"/>
            <w:proofErr w:type="gramEnd"/>
          </w:p>
        </w:tc>
      </w:tr>
      <w:tr>
        <w:trPr>
          <w:cantSplit/>
          <w:trHeight w:val="188"/>
        </w:trPr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76" w:right="-14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6=5-4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ind w:right="-10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7=5/4</w:t>
            </w:r>
          </w:p>
        </w:tc>
      </w:tr>
      <w:tr>
        <w:trPr>
          <w:cantSplit/>
          <w:trHeight w:val="406"/>
        </w:trPr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 w:right="-57"/>
            </w:pPr>
            <w:r>
              <w:t>Налог, взимаемый в связи с применением УСН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right"/>
            </w:pPr>
            <w:r>
              <w:t>46 005,60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right"/>
            </w:pPr>
            <w:r>
              <w:t>46 478,00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right"/>
            </w:pPr>
            <w:r>
              <w:t>56 438,00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right"/>
            </w:pPr>
            <w:r>
              <w:t>56 743,89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right"/>
            </w:pPr>
            <w:r>
              <w:t>305,89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ind w:left="-57" w:right="-57"/>
              <w:jc w:val="right"/>
              <w:rPr>
                <w:color w:val="000000"/>
              </w:rPr>
            </w:pPr>
            <w:r>
              <w:rPr>
                <w:color w:val="000000"/>
              </w:rPr>
              <w:t>100,5</w:t>
            </w:r>
          </w:p>
        </w:tc>
      </w:tr>
    </w:tbl>
    <w:p>
      <w:pPr>
        <w:pStyle w:val="a5"/>
        <w:spacing w:before="120" w:after="0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Удельный вес статьи в общей структуре фактически поступивших доходов составляет 1,3%, налоговых и неналоговых доходах – 5,0%. </w:t>
      </w:r>
    </w:p>
    <w:p>
      <w:pPr>
        <w:pStyle w:val="a5"/>
        <w:spacing w:after="0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Налог зачислялся в бюджет ЗАТО Северск по единому нормативу 30% в соответствии Законом Томской области от 14.11.2012 № 208-ОЗ «Об установлении единых нормативов отчислений в бюджеты муниципальных районов и городских округов Томской области от отдельных федеральных налогов».</w:t>
      </w:r>
    </w:p>
    <w:p>
      <w:pPr>
        <w:pStyle w:val="a5"/>
        <w:spacing w:after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Главный администратор доходов по налогу, взимаемому в связи с применением УСН – ИФНС России по ЗАТО Северск Томской области.</w:t>
      </w:r>
    </w:p>
    <w:p>
      <w:pPr>
        <w:pStyle w:val="a5"/>
        <w:spacing w:after="0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По сравнению с 2018 годом поступление доходов по статье увеличилось на 10 738,29 тыс.руб. или на 23,3%, что обусловлено:</w:t>
      </w:r>
    </w:p>
    <w:p>
      <w:pPr>
        <w:pStyle w:val="a5"/>
        <w:numPr>
          <w:ilvl w:val="0"/>
          <w:numId w:val="40"/>
        </w:numPr>
        <w:tabs>
          <w:tab w:val="left" w:pos="1134"/>
        </w:tabs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прекращением действия с 1 января 2019 года пониженных налоговых ставок согласно Закону Томской области от 29.11.2016 № 136-ОЗ «О внесении изменений в Закон Томской области «Об установлении на территории Томской области налоговых ставок по налогу, взимаемому в связи с применением упрощенной системы налогообложения» для отдельных категорий налогоплательщиков:</w:t>
      </w:r>
    </w:p>
    <w:p>
      <w:pPr>
        <w:pStyle w:val="a5"/>
        <w:spacing w:after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 выбравших в качестве объекта налогообложения доходы, уменьшенные на величину расходов, в размере 7,5% (с 1 января 2019 года применяется налоговая ставка в размерах 10% и 15% в зависимости от основного вида экономической деятельности);</w:t>
      </w:r>
    </w:p>
    <w:p>
      <w:pPr>
        <w:pStyle w:val="a5"/>
        <w:spacing w:after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 выбравших в качестве объекта налогообложения доходы в размере 4,5% (с 1 января 2019 года применяется налоговая ставка 6%).</w:t>
      </w:r>
    </w:p>
    <w:p>
      <w:pPr>
        <w:pStyle w:val="a5"/>
        <w:numPr>
          <w:ilvl w:val="0"/>
          <w:numId w:val="40"/>
        </w:numPr>
        <w:tabs>
          <w:tab w:val="left" w:pos="1134"/>
        </w:tabs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увеличением налогооблагаемой базы по отдельным налогоплательщикам. </w:t>
      </w:r>
    </w:p>
    <w:p>
      <w:pPr>
        <w:pStyle w:val="a5"/>
        <w:spacing w:after="0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Задолженность налогоплательщиков по налогу по состоянию на 01.01.2020 по сравнению с задолженностью на 01.01.2019 сократилась на 1 966,5 тыс.руб. </w:t>
      </w:r>
    </w:p>
    <w:p>
      <w:pPr>
        <w:pStyle w:val="a5"/>
        <w:spacing w:before="120" w:after="60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Таблица 13. Анализ задолженности по налогу, взимаемому в связи с применением УСН, в бюджет ЗАТО Северск за 2019 - 2019 гг.</w:t>
      </w:r>
    </w:p>
    <w:tbl>
      <w:tblPr>
        <w:tblW w:w="9368" w:type="dxa"/>
        <w:tblInd w:w="96" w:type="dxa"/>
        <w:tblLayout w:type="fixed"/>
        <w:tblLook w:val="0000"/>
      </w:tblPr>
      <w:tblGrid>
        <w:gridCol w:w="4265"/>
        <w:gridCol w:w="1276"/>
        <w:gridCol w:w="1417"/>
        <w:gridCol w:w="1276"/>
        <w:gridCol w:w="1134"/>
      </w:tblGrid>
      <w:tr>
        <w:trPr>
          <w:cantSplit/>
          <w:trHeight w:val="160"/>
        </w:trPr>
        <w:tc>
          <w:tcPr>
            <w:tcW w:w="42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</w:pPr>
            <w:r>
              <w:t>Наименование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ind w:left="-57" w:right="-57"/>
              <w:jc w:val="center"/>
            </w:pPr>
            <w:r>
              <w:rPr>
                <w:bCs/>
              </w:rPr>
              <w:t>Задолженность, тыс.руб.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Отклонение</w:t>
            </w:r>
          </w:p>
        </w:tc>
      </w:tr>
      <w:tr>
        <w:trPr>
          <w:cantSplit/>
          <w:trHeight w:val="226"/>
        </w:trPr>
        <w:tc>
          <w:tcPr>
            <w:tcW w:w="42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ind w:left="-57" w:right="-57"/>
              <w:jc w:val="center"/>
            </w:pPr>
            <w:r>
              <w:t>на 01.01.2019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 w:right="-57"/>
              <w:jc w:val="center"/>
            </w:pPr>
            <w:r>
              <w:t>на 01.01.2020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 w:right="-57"/>
              <w:jc w:val="center"/>
            </w:pPr>
            <w:r>
              <w:t>абсолютное тыс</w:t>
            </w:r>
            <w:proofErr w:type="gramStart"/>
            <w:r>
              <w:t>.р</w:t>
            </w:r>
            <w:proofErr w:type="gramEnd"/>
            <w:r>
              <w:t>уб.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ind w:left="-57" w:right="-57"/>
              <w:jc w:val="center"/>
            </w:pPr>
            <w:proofErr w:type="gramStart"/>
            <w:r>
              <w:t>относи-тельное</w:t>
            </w:r>
            <w:proofErr w:type="gramEnd"/>
            <w:r>
              <w:t xml:space="preserve"> %</w:t>
            </w:r>
          </w:p>
        </w:tc>
      </w:tr>
      <w:tr>
        <w:trPr>
          <w:cantSplit/>
          <w:trHeight w:val="398"/>
        </w:trPr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 w:right="-57"/>
            </w:pPr>
            <w:r>
              <w:t>Налог, взимаемый в связи с применением УСН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ind w:left="-57"/>
              <w:jc w:val="right"/>
            </w:pPr>
            <w:r>
              <w:t>3 638,9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/>
              <w:jc w:val="right"/>
            </w:pPr>
            <w:r>
              <w:t>1 672,4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/>
              <w:jc w:val="right"/>
            </w:pPr>
            <w:r>
              <w:t>-1 966,5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/>
              <w:jc w:val="center"/>
            </w:pPr>
            <w:r>
              <w:t>46,0</w:t>
            </w:r>
          </w:p>
        </w:tc>
      </w:tr>
    </w:tbl>
    <w:p>
      <w:pPr>
        <w:pStyle w:val="a5"/>
        <w:spacing w:after="0"/>
        <w:jc w:val="center"/>
        <w:rPr>
          <w:b/>
          <w:sz w:val="24"/>
          <w:szCs w:val="24"/>
          <w:highlight w:val="yellow"/>
        </w:rPr>
      </w:pPr>
    </w:p>
    <w:p>
      <w:pPr>
        <w:pStyle w:val="a5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3.1.4. Единый налог на вмененный доход</w:t>
      </w:r>
    </w:p>
    <w:p>
      <w:pPr>
        <w:pStyle w:val="a5"/>
        <w:spacing w:before="160" w:after="0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Прогноз поступлений по статье «Единый налог на вмененный доход» (ЕНВД) составлял 44 288,00 тыс.руб., фактическое исполнение - 44 684,50 тыс.руб., перевыполнение на 396,50 тыс.руб. или на 0,9%.</w:t>
      </w:r>
    </w:p>
    <w:p>
      <w:pPr>
        <w:spacing w:before="120" w:after="60"/>
        <w:ind w:right="45" w:firstLine="720"/>
        <w:jc w:val="both"/>
        <w:rPr>
          <w:sz w:val="24"/>
          <w:szCs w:val="24"/>
        </w:rPr>
      </w:pPr>
      <w:r>
        <w:rPr>
          <w:sz w:val="24"/>
          <w:szCs w:val="24"/>
        </w:rPr>
        <w:t>Таблица 14. Анализ поступления ЕНВД за 2018 - 2019 гг.</w:t>
      </w:r>
    </w:p>
    <w:tbl>
      <w:tblPr>
        <w:tblW w:w="9366" w:type="dxa"/>
        <w:tblInd w:w="96" w:type="dxa"/>
        <w:tblLayout w:type="fixed"/>
        <w:tblLook w:val="0000"/>
      </w:tblPr>
      <w:tblGrid>
        <w:gridCol w:w="2422"/>
        <w:gridCol w:w="1276"/>
        <w:gridCol w:w="1275"/>
        <w:gridCol w:w="1275"/>
        <w:gridCol w:w="1134"/>
        <w:gridCol w:w="1135"/>
        <w:gridCol w:w="849"/>
      </w:tblGrid>
      <w:tr>
        <w:trPr>
          <w:cantSplit/>
          <w:trHeight w:val="142"/>
        </w:trPr>
        <w:tc>
          <w:tcPr>
            <w:tcW w:w="2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</w:pPr>
            <w:r>
              <w:t>Наименование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>
            <w:pPr>
              <w:ind w:left="-57" w:right="-57"/>
              <w:jc w:val="center"/>
              <w:rPr>
                <w:bCs/>
              </w:rPr>
            </w:pPr>
            <w:r>
              <w:rPr>
                <w:bCs/>
              </w:rPr>
              <w:t xml:space="preserve">Факт </w:t>
            </w:r>
          </w:p>
          <w:p>
            <w:pPr>
              <w:ind w:left="-57" w:right="-57"/>
              <w:jc w:val="center"/>
              <w:rPr>
                <w:bCs/>
              </w:rPr>
            </w:pPr>
            <w:r>
              <w:rPr>
                <w:bCs/>
              </w:rPr>
              <w:t>2018 год, тыс.руб.</w:t>
            </w:r>
          </w:p>
        </w:tc>
        <w:tc>
          <w:tcPr>
            <w:tcW w:w="56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 w:right="-57"/>
              <w:jc w:val="center"/>
            </w:pPr>
            <w:r>
              <w:t>2019 год</w:t>
            </w:r>
          </w:p>
        </w:tc>
      </w:tr>
      <w:tr>
        <w:trPr>
          <w:cantSplit/>
          <w:trHeight w:val="800"/>
        </w:trPr>
        <w:tc>
          <w:tcPr>
            <w:tcW w:w="24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ind w:left="-57" w:right="-57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ind w:left="-158" w:right="-108"/>
              <w:jc w:val="center"/>
            </w:pPr>
            <w:proofErr w:type="spellStart"/>
            <w:r>
              <w:t>Первона-чальный</w:t>
            </w:r>
            <w:proofErr w:type="spellEnd"/>
            <w:r>
              <w:t xml:space="preserve"> прогноз, тыс</w:t>
            </w:r>
            <w:proofErr w:type="gramStart"/>
            <w:r>
              <w:t>.р</w:t>
            </w:r>
            <w:proofErr w:type="gramEnd"/>
            <w:r>
              <w:t>уб.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158" w:right="-108"/>
              <w:jc w:val="center"/>
            </w:pPr>
            <w:r>
              <w:t>Уточненный прогноз,</w:t>
            </w:r>
            <w:r>
              <w:br/>
              <w:t>тыс</w:t>
            </w:r>
            <w:proofErr w:type="gramStart"/>
            <w:r>
              <w:t>.р</w:t>
            </w:r>
            <w:proofErr w:type="gramEnd"/>
            <w:r>
              <w:t>уб.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108" w:right="-108"/>
              <w:jc w:val="center"/>
            </w:pPr>
            <w:r>
              <w:t xml:space="preserve">Факт, </w:t>
            </w:r>
            <w:r>
              <w:br/>
              <w:t>тыс.руб.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pStyle w:val="a5"/>
              <w:tabs>
                <w:tab w:val="left" w:pos="-108"/>
                <w:tab w:val="left" w:pos="-77"/>
              </w:tabs>
              <w:spacing w:after="0"/>
              <w:ind w:left="-108" w:right="-108"/>
              <w:jc w:val="center"/>
            </w:pPr>
            <w:r>
              <w:t>Отклонение</w:t>
            </w:r>
          </w:p>
          <w:p>
            <w:pPr>
              <w:pStyle w:val="a5"/>
              <w:tabs>
                <w:tab w:val="left" w:pos="-108"/>
                <w:tab w:val="left" w:pos="-77"/>
              </w:tabs>
              <w:spacing w:after="0"/>
              <w:ind w:left="-108" w:right="-108"/>
              <w:jc w:val="center"/>
            </w:pPr>
            <w:r>
              <w:t>тыс.руб.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a5"/>
              <w:tabs>
                <w:tab w:val="left" w:pos="-192"/>
                <w:tab w:val="left" w:pos="-77"/>
              </w:tabs>
              <w:spacing w:after="0"/>
              <w:ind w:left="-108" w:right="-108"/>
              <w:jc w:val="center"/>
            </w:pPr>
            <w:r>
              <w:t>%</w:t>
            </w:r>
          </w:p>
          <w:p>
            <w:pPr>
              <w:pStyle w:val="a5"/>
              <w:tabs>
                <w:tab w:val="left" w:pos="-192"/>
                <w:tab w:val="left" w:pos="0"/>
              </w:tabs>
              <w:spacing w:after="0"/>
              <w:ind w:left="-108" w:right="-108"/>
              <w:jc w:val="center"/>
            </w:pPr>
            <w:proofErr w:type="spellStart"/>
            <w:proofErr w:type="gramStart"/>
            <w:r>
              <w:t>испол-нения</w:t>
            </w:r>
            <w:proofErr w:type="spellEnd"/>
            <w:proofErr w:type="gramEnd"/>
          </w:p>
        </w:tc>
      </w:tr>
      <w:tr>
        <w:trPr>
          <w:cantSplit/>
          <w:trHeight w:val="147"/>
        </w:trPr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76" w:right="-14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6=5-4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ind w:right="-10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7=5/4</w:t>
            </w:r>
          </w:p>
        </w:tc>
      </w:tr>
      <w:tr>
        <w:trPr>
          <w:cantSplit/>
          <w:trHeight w:val="438"/>
        </w:trPr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 w:right="-57"/>
              <w:rPr>
                <w:highlight w:val="yellow"/>
              </w:rPr>
            </w:pPr>
            <w:r>
              <w:t>ЕНВД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right"/>
            </w:pPr>
            <w:r>
              <w:t>41 969,05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right"/>
            </w:pPr>
            <w:r>
              <w:t>43 848,00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right"/>
            </w:pPr>
            <w:r>
              <w:t>44 288,00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right"/>
            </w:pPr>
            <w:r>
              <w:t>44 684,50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right"/>
            </w:pPr>
            <w:r>
              <w:t>396,50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ind w:left="-57" w:right="-57"/>
              <w:jc w:val="right"/>
              <w:rPr>
                <w:color w:val="000000"/>
              </w:rPr>
            </w:pPr>
            <w:r>
              <w:rPr>
                <w:color w:val="000000"/>
              </w:rPr>
              <w:t>100,9</w:t>
            </w:r>
          </w:p>
        </w:tc>
      </w:tr>
    </w:tbl>
    <w:p>
      <w:pPr>
        <w:pStyle w:val="a5"/>
        <w:spacing w:before="160" w:after="0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Удельный вес статьи в общей структуре фактически поступивших доходов составляет 1,0%, налоговых и неналоговых доходах – 4,0%. </w:t>
      </w:r>
    </w:p>
    <w:p>
      <w:pPr>
        <w:pStyle w:val="a5"/>
        <w:spacing w:after="0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Норматив зачисления в бюджет ЗАТО Северск 100%. </w:t>
      </w:r>
    </w:p>
    <w:p>
      <w:pPr>
        <w:pStyle w:val="a5"/>
        <w:spacing w:after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Главный администратор доходов по ЕНВД – ИФНС России по ЗАТО Северск Томской области.</w:t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По сравнению с 2018 годом поступление доходов по статье увеличилось на 2 715,45 тыс.руб. или на 6,5%, что обусловлено:</w:t>
      </w:r>
    </w:p>
    <w:p>
      <w:pPr>
        <w:pStyle w:val="af8"/>
        <w:numPr>
          <w:ilvl w:val="0"/>
          <w:numId w:val="39"/>
        </w:numPr>
        <w:tabs>
          <w:tab w:val="left" w:pos="1134"/>
        </w:tabs>
        <w:ind w:left="0" w:firstLine="698"/>
        <w:jc w:val="both"/>
        <w:rPr>
          <w:sz w:val="24"/>
          <w:szCs w:val="24"/>
        </w:rPr>
      </w:pPr>
      <w:r>
        <w:rPr>
          <w:sz w:val="24"/>
          <w:szCs w:val="24"/>
        </w:rPr>
        <w:t>увеличением на 2019 год значения корректирующего коэффициента К</w:t>
      </w:r>
      <w:proofErr w:type="gramStart"/>
      <w:r>
        <w:rPr>
          <w:sz w:val="24"/>
          <w:szCs w:val="24"/>
        </w:rPr>
        <w:t>2</w:t>
      </w:r>
      <w:proofErr w:type="gramEnd"/>
      <w:r>
        <w:rPr>
          <w:sz w:val="24"/>
          <w:szCs w:val="24"/>
        </w:rPr>
        <w:t xml:space="preserve"> на 4% согласно Прогнозу социально-экономического развития Российской Федерации на 2018 год и на плановый период 2019 и 2020 годов:</w:t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 в зависимости от показателя доходности (значение «А») по тем видам деятельности, по которым значение «А» не достигло максимальной величины;</w:t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 в зависимости от показателя категории автостоянок (значение «Д») для открытых автостоянок;</w:t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 в зависимости от количества посадочных мест (значение «Ж») для категории пассажирских перевозок автомобильным транспортом свыше 4-х посадочных мест.</w:t>
      </w:r>
    </w:p>
    <w:p>
      <w:pPr>
        <w:pStyle w:val="af8"/>
        <w:numPr>
          <w:ilvl w:val="0"/>
          <w:numId w:val="39"/>
        </w:numPr>
        <w:tabs>
          <w:tab w:val="left" w:pos="1134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установлением повышающего коэффициента при реализации организациями общественного питания, имеющими залы обслуживания посетителей, алкогольной продукции, в размере 1,3.</w:t>
      </w:r>
    </w:p>
    <w:p>
      <w:pPr>
        <w:tabs>
          <w:tab w:val="left" w:pos="1134"/>
        </w:tabs>
        <w:jc w:val="both"/>
        <w:rPr>
          <w:sz w:val="16"/>
          <w:szCs w:val="16"/>
        </w:rPr>
      </w:pPr>
    </w:p>
    <w:p>
      <w:pPr>
        <w:ind w:right="45" w:firstLine="720"/>
        <w:jc w:val="both"/>
        <w:rPr>
          <w:sz w:val="24"/>
          <w:szCs w:val="24"/>
        </w:rPr>
      </w:pPr>
      <w:r>
        <w:rPr>
          <w:sz w:val="24"/>
          <w:szCs w:val="24"/>
        </w:rPr>
        <w:t>Задолженность налогоплательщиков по ЕНВД в 2019 году сократилась на 930,8 тыс.руб.</w:t>
      </w:r>
    </w:p>
    <w:p>
      <w:pPr>
        <w:spacing w:before="120" w:after="60"/>
        <w:ind w:right="45" w:firstLine="720"/>
        <w:jc w:val="both"/>
        <w:rPr>
          <w:sz w:val="24"/>
          <w:szCs w:val="24"/>
        </w:rPr>
      </w:pPr>
      <w:r>
        <w:rPr>
          <w:sz w:val="24"/>
          <w:szCs w:val="24"/>
        </w:rPr>
        <w:t>Таблица 14. Анализ задолженности по ЕНВД за 2018 - 2019 гг.</w:t>
      </w:r>
    </w:p>
    <w:tbl>
      <w:tblPr>
        <w:tblW w:w="9368" w:type="dxa"/>
        <w:tblInd w:w="96" w:type="dxa"/>
        <w:tblLayout w:type="fixed"/>
        <w:tblLook w:val="0000"/>
      </w:tblPr>
      <w:tblGrid>
        <w:gridCol w:w="3981"/>
        <w:gridCol w:w="1418"/>
        <w:gridCol w:w="1417"/>
        <w:gridCol w:w="1418"/>
        <w:gridCol w:w="1134"/>
      </w:tblGrid>
      <w:tr>
        <w:trPr>
          <w:cantSplit/>
          <w:trHeight w:val="324"/>
        </w:trPr>
        <w:tc>
          <w:tcPr>
            <w:tcW w:w="39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</w:pPr>
            <w:r>
              <w:t>Наименование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ind w:left="-57" w:right="-57"/>
              <w:jc w:val="center"/>
            </w:pPr>
            <w:r>
              <w:rPr>
                <w:bCs/>
              </w:rPr>
              <w:t>Задолженность, тыс.руб.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Отклонение</w:t>
            </w:r>
          </w:p>
        </w:tc>
      </w:tr>
      <w:tr>
        <w:trPr>
          <w:cantSplit/>
          <w:trHeight w:val="226"/>
        </w:trPr>
        <w:tc>
          <w:tcPr>
            <w:tcW w:w="39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ind w:left="-57" w:right="-57"/>
              <w:jc w:val="center"/>
            </w:pPr>
            <w:r>
              <w:t>на 01.01.2019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 w:right="-57"/>
              <w:jc w:val="center"/>
            </w:pPr>
            <w:r>
              <w:t>на 01.01.2020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 w:right="-57"/>
              <w:jc w:val="center"/>
            </w:pPr>
            <w:r>
              <w:t>абсолютное тыс</w:t>
            </w:r>
            <w:proofErr w:type="gramStart"/>
            <w:r>
              <w:t>.р</w:t>
            </w:r>
            <w:proofErr w:type="gramEnd"/>
            <w:r>
              <w:t>уб.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ind w:left="-57" w:right="-57"/>
              <w:jc w:val="center"/>
            </w:pPr>
            <w:proofErr w:type="gramStart"/>
            <w:r>
              <w:t>относи-тельное</w:t>
            </w:r>
            <w:proofErr w:type="gramEnd"/>
            <w:r>
              <w:t xml:space="preserve"> %</w:t>
            </w:r>
          </w:p>
        </w:tc>
      </w:tr>
      <w:tr>
        <w:trPr>
          <w:cantSplit/>
          <w:trHeight w:val="538"/>
        </w:trPr>
        <w:tc>
          <w:tcPr>
            <w:tcW w:w="3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 w:right="-57"/>
            </w:pPr>
            <w:r>
              <w:t>ЕНВД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/>
              <w:jc w:val="right"/>
            </w:pPr>
            <w:r>
              <w:t>3 950,3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/>
              <w:jc w:val="right"/>
            </w:pPr>
            <w:r>
              <w:t>3 019,5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/>
              <w:jc w:val="right"/>
            </w:pPr>
            <w:r>
              <w:t>-930,8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/>
              <w:jc w:val="center"/>
            </w:pPr>
            <w:r>
              <w:t>76,4</w:t>
            </w:r>
          </w:p>
        </w:tc>
      </w:tr>
    </w:tbl>
    <w:p>
      <w:pPr>
        <w:pStyle w:val="a5"/>
        <w:spacing w:after="0"/>
        <w:ind w:firstLine="720"/>
        <w:jc w:val="center"/>
        <w:outlineLvl w:val="0"/>
        <w:rPr>
          <w:b/>
          <w:sz w:val="28"/>
          <w:szCs w:val="28"/>
          <w:highlight w:val="yellow"/>
        </w:rPr>
      </w:pPr>
    </w:p>
    <w:p>
      <w:pPr>
        <w:pStyle w:val="a5"/>
        <w:jc w:val="center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>3.1.5. Единый сельскохозяйственный налог</w:t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Прогноз поступлений по статье «Единый сельскохозяйственный налог» (ЕСХН) составлял 360,43 тыс.руб., фактическое исполнение – 360,44 тыс.руб. (100,0%).</w:t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Норматив зачисления в бюджет ЗАТО Северск 100%.</w:t>
      </w:r>
    </w:p>
    <w:p>
      <w:pPr>
        <w:pStyle w:val="a5"/>
        <w:spacing w:after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Главный администратор доходов по ЕСХН – ИФНС по ЗАТО Северск Томской области.</w:t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 2019 году налог поступил от единственного налогоплательщика - ООО «ТРК».</w:t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По сравнению с 2018 годом рост поступлений по статье составил 340,49 тыс.руб.</w:t>
      </w:r>
    </w:p>
    <w:p>
      <w:pPr>
        <w:ind w:right="45" w:firstLine="720"/>
        <w:jc w:val="both"/>
        <w:rPr>
          <w:sz w:val="24"/>
          <w:szCs w:val="24"/>
        </w:rPr>
      </w:pPr>
      <w:r>
        <w:rPr>
          <w:sz w:val="24"/>
          <w:szCs w:val="24"/>
        </w:rPr>
        <w:t>Задолженность налогоплательщиков по ЕСХН в 2019 году увеличилась на 0,8 тыс.руб.</w:t>
      </w:r>
    </w:p>
    <w:p>
      <w:pPr>
        <w:spacing w:before="120" w:after="60"/>
        <w:ind w:right="45" w:firstLine="720"/>
        <w:jc w:val="both"/>
        <w:rPr>
          <w:sz w:val="24"/>
          <w:szCs w:val="24"/>
        </w:rPr>
      </w:pPr>
      <w:r>
        <w:rPr>
          <w:sz w:val="24"/>
          <w:szCs w:val="24"/>
        </w:rPr>
        <w:t>Таблица 15. Анализ задолженности по ЕСХН за 2018 - 2019 гг.</w:t>
      </w:r>
    </w:p>
    <w:tbl>
      <w:tblPr>
        <w:tblW w:w="9368" w:type="dxa"/>
        <w:tblInd w:w="96" w:type="dxa"/>
        <w:tblLayout w:type="fixed"/>
        <w:tblLook w:val="0000"/>
      </w:tblPr>
      <w:tblGrid>
        <w:gridCol w:w="3981"/>
        <w:gridCol w:w="1418"/>
        <w:gridCol w:w="1417"/>
        <w:gridCol w:w="1418"/>
        <w:gridCol w:w="1134"/>
      </w:tblGrid>
      <w:tr>
        <w:trPr>
          <w:cantSplit/>
          <w:trHeight w:val="324"/>
        </w:trPr>
        <w:tc>
          <w:tcPr>
            <w:tcW w:w="39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</w:pPr>
            <w:r>
              <w:t>Наименование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ind w:left="-57" w:right="-57"/>
              <w:jc w:val="center"/>
            </w:pPr>
            <w:r>
              <w:rPr>
                <w:bCs/>
              </w:rPr>
              <w:t>Задолженность, тыс.руб.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Отклонение</w:t>
            </w:r>
          </w:p>
        </w:tc>
      </w:tr>
      <w:tr>
        <w:trPr>
          <w:cantSplit/>
          <w:trHeight w:val="226"/>
        </w:trPr>
        <w:tc>
          <w:tcPr>
            <w:tcW w:w="39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ind w:left="-57" w:right="-57"/>
              <w:jc w:val="center"/>
            </w:pPr>
            <w:r>
              <w:t>на 01.01.2019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 w:right="-57"/>
              <w:jc w:val="center"/>
            </w:pPr>
            <w:r>
              <w:t>на 01.01.2020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 w:right="-57"/>
              <w:jc w:val="center"/>
            </w:pPr>
            <w:r>
              <w:t>абсолютное тыс</w:t>
            </w:r>
            <w:proofErr w:type="gramStart"/>
            <w:r>
              <w:t>.р</w:t>
            </w:r>
            <w:proofErr w:type="gramEnd"/>
            <w:r>
              <w:t>уб.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ind w:left="-57" w:right="-57"/>
              <w:jc w:val="center"/>
            </w:pPr>
            <w:proofErr w:type="gramStart"/>
            <w:r>
              <w:t>относи-тельное</w:t>
            </w:r>
            <w:proofErr w:type="gramEnd"/>
            <w:r>
              <w:t xml:space="preserve"> %</w:t>
            </w:r>
          </w:p>
        </w:tc>
      </w:tr>
      <w:tr>
        <w:trPr>
          <w:cantSplit/>
          <w:trHeight w:val="482"/>
        </w:trPr>
        <w:tc>
          <w:tcPr>
            <w:tcW w:w="3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 w:right="-57"/>
            </w:pPr>
            <w:r>
              <w:t>ЕСХН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/>
              <w:jc w:val="right"/>
            </w:pPr>
            <w:r>
              <w:t>0,5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/>
              <w:jc w:val="right"/>
            </w:pPr>
            <w:r>
              <w:t>1,3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/>
              <w:jc w:val="right"/>
            </w:pPr>
            <w: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/>
              <w:jc w:val="center"/>
            </w:pPr>
            <w:r>
              <w:t>260,0</w:t>
            </w:r>
          </w:p>
        </w:tc>
      </w:tr>
    </w:tbl>
    <w:p>
      <w:pPr>
        <w:ind w:firstLine="709"/>
        <w:jc w:val="both"/>
        <w:rPr>
          <w:sz w:val="28"/>
          <w:szCs w:val="28"/>
        </w:rPr>
      </w:pPr>
    </w:p>
    <w:p>
      <w:pPr>
        <w:shd w:val="clear" w:color="auto" w:fill="FFFFFF" w:themeFill="background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3.1.6.  Налог, взимаемый в связи с применением </w:t>
      </w:r>
    </w:p>
    <w:p>
      <w:pPr>
        <w:shd w:val="clear" w:color="auto" w:fill="FFFFFF" w:themeFill="background1"/>
        <w:spacing w:after="1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патентной системы налогообложения</w:t>
      </w:r>
    </w:p>
    <w:p>
      <w:pPr>
        <w:pStyle w:val="a5"/>
        <w:spacing w:after="0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Прогноз поступлений по статье «Налог, взимаемый в связи с применением патентной системы налогообложения» составлял 863,31 тыс.руб., фактическое исполнение – 1 023,46 тыс.руб., перевыполнение на 160,15 тыс.руб. или на 18,6%. </w:t>
      </w:r>
    </w:p>
    <w:p>
      <w:pPr>
        <w:spacing w:before="120" w:after="60"/>
        <w:ind w:right="45" w:firstLine="72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Таблица 16. Анализ поступления налога, взимаемого в связи с применением патентной системы налогообложения, за 2018 - 2019 гг.</w:t>
      </w:r>
    </w:p>
    <w:tbl>
      <w:tblPr>
        <w:tblW w:w="9509" w:type="dxa"/>
        <w:tblInd w:w="96" w:type="dxa"/>
        <w:tblLayout w:type="fixed"/>
        <w:tblLook w:val="0000"/>
      </w:tblPr>
      <w:tblGrid>
        <w:gridCol w:w="2989"/>
        <w:gridCol w:w="1134"/>
        <w:gridCol w:w="1134"/>
        <w:gridCol w:w="1134"/>
        <w:gridCol w:w="1134"/>
        <w:gridCol w:w="1134"/>
        <w:gridCol w:w="850"/>
      </w:tblGrid>
      <w:tr>
        <w:trPr>
          <w:cantSplit/>
          <w:trHeight w:val="210"/>
        </w:trPr>
        <w:tc>
          <w:tcPr>
            <w:tcW w:w="2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</w:pPr>
            <w:r>
              <w:t>Наименование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 w:right="-57"/>
              <w:jc w:val="center"/>
              <w:rPr>
                <w:bCs/>
              </w:rPr>
            </w:pPr>
            <w:r>
              <w:rPr>
                <w:bCs/>
              </w:rPr>
              <w:t xml:space="preserve">Факт </w:t>
            </w:r>
          </w:p>
          <w:p>
            <w:pPr>
              <w:ind w:left="-57" w:right="-57"/>
              <w:jc w:val="center"/>
              <w:rPr>
                <w:bCs/>
              </w:rPr>
            </w:pPr>
            <w:r>
              <w:rPr>
                <w:bCs/>
              </w:rPr>
              <w:t>2018 год, тыс.руб.</w:t>
            </w:r>
          </w:p>
        </w:tc>
        <w:tc>
          <w:tcPr>
            <w:tcW w:w="53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 w:right="-57"/>
              <w:jc w:val="center"/>
            </w:pPr>
            <w:r>
              <w:t>2019 год</w:t>
            </w:r>
          </w:p>
        </w:tc>
      </w:tr>
      <w:tr>
        <w:trPr>
          <w:cantSplit/>
          <w:trHeight w:val="766"/>
        </w:trPr>
        <w:tc>
          <w:tcPr>
            <w:tcW w:w="29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 w:right="-57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ind w:left="-158" w:right="-108"/>
              <w:jc w:val="center"/>
            </w:pPr>
            <w:proofErr w:type="spellStart"/>
            <w:r>
              <w:t>Первона-чальный</w:t>
            </w:r>
            <w:proofErr w:type="spellEnd"/>
            <w:r>
              <w:t xml:space="preserve"> прогноз, тыс</w:t>
            </w:r>
            <w:proofErr w:type="gramStart"/>
            <w:r>
              <w:t>.р</w:t>
            </w:r>
            <w:proofErr w:type="gramEnd"/>
            <w:r>
              <w:t>уб.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158" w:right="-108"/>
              <w:jc w:val="center"/>
            </w:pPr>
            <w:r>
              <w:t>Уточненный прогноз,</w:t>
            </w:r>
            <w:r>
              <w:br/>
              <w:t>тыс</w:t>
            </w:r>
            <w:proofErr w:type="gramStart"/>
            <w:r>
              <w:t>.р</w:t>
            </w:r>
            <w:proofErr w:type="gramEnd"/>
            <w:r>
              <w:t>уб.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108" w:right="-108"/>
              <w:jc w:val="center"/>
            </w:pPr>
            <w:r>
              <w:t xml:space="preserve">Факт, </w:t>
            </w:r>
            <w:r>
              <w:br/>
              <w:t>тыс.руб.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pStyle w:val="a5"/>
              <w:tabs>
                <w:tab w:val="left" w:pos="-108"/>
                <w:tab w:val="left" w:pos="-77"/>
              </w:tabs>
              <w:spacing w:after="0"/>
              <w:ind w:left="-108" w:right="-108"/>
              <w:jc w:val="center"/>
            </w:pPr>
            <w:r>
              <w:t>Отклонение</w:t>
            </w:r>
          </w:p>
          <w:p>
            <w:pPr>
              <w:pStyle w:val="a5"/>
              <w:tabs>
                <w:tab w:val="left" w:pos="-108"/>
                <w:tab w:val="left" w:pos="-77"/>
              </w:tabs>
              <w:spacing w:after="0"/>
              <w:ind w:left="-108" w:right="-108"/>
              <w:jc w:val="center"/>
            </w:pPr>
            <w:r>
              <w:t>тыс.руб.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pStyle w:val="a5"/>
              <w:tabs>
                <w:tab w:val="left" w:pos="-192"/>
                <w:tab w:val="left" w:pos="-77"/>
              </w:tabs>
              <w:spacing w:after="0"/>
              <w:ind w:left="-108" w:right="-108"/>
              <w:jc w:val="center"/>
            </w:pPr>
            <w:r>
              <w:t>%</w:t>
            </w:r>
          </w:p>
          <w:p>
            <w:pPr>
              <w:pStyle w:val="a5"/>
              <w:tabs>
                <w:tab w:val="left" w:pos="-192"/>
                <w:tab w:val="left" w:pos="0"/>
              </w:tabs>
              <w:spacing w:after="0"/>
              <w:ind w:left="-108" w:right="-108"/>
              <w:jc w:val="center"/>
            </w:pPr>
            <w:proofErr w:type="spellStart"/>
            <w:proofErr w:type="gramStart"/>
            <w:r>
              <w:t>испол-нения</w:t>
            </w:r>
            <w:proofErr w:type="spellEnd"/>
            <w:proofErr w:type="gramEnd"/>
          </w:p>
        </w:tc>
      </w:tr>
      <w:tr>
        <w:trPr>
          <w:cantSplit/>
          <w:trHeight w:val="161"/>
        </w:trPr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76" w:right="-14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6=5-4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right="-10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7=5/4</w:t>
            </w:r>
          </w:p>
        </w:tc>
      </w:tr>
      <w:tr>
        <w:trPr>
          <w:cantSplit/>
          <w:trHeight w:val="284"/>
        </w:trPr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 w:right="-57"/>
              <w:rPr>
                <w:highlight w:val="yellow"/>
              </w:rPr>
            </w:pPr>
            <w:r>
              <w:t>Налог, взимаемый в связи с применением патентной системы налогообложения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right"/>
            </w:pPr>
            <w:r>
              <w:t>903,39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right"/>
            </w:pPr>
            <w:r>
              <w:t>863,31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right"/>
            </w:pPr>
            <w:r>
              <w:t>863,31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right"/>
            </w:pPr>
            <w:r>
              <w:t>1 023,46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right"/>
            </w:pPr>
            <w:r>
              <w:t>160,15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ind w:left="-57" w:right="-57"/>
              <w:jc w:val="center"/>
              <w:rPr>
                <w:color w:val="000000"/>
                <w:highlight w:val="yellow"/>
              </w:rPr>
            </w:pPr>
            <w:r>
              <w:rPr>
                <w:color w:val="000000"/>
              </w:rPr>
              <w:t>118,6</w:t>
            </w:r>
          </w:p>
        </w:tc>
      </w:tr>
    </w:tbl>
    <w:p>
      <w:pPr>
        <w:pStyle w:val="a5"/>
        <w:shd w:val="clear" w:color="auto" w:fill="FFFFFF" w:themeFill="background1"/>
        <w:spacing w:before="120" w:after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Удельный вес статьи в общей структуре фактически поступивших доходов составляет 0,02%, налоговых и неналоговых доходах - 0,1%. </w:t>
      </w:r>
    </w:p>
    <w:p>
      <w:pPr>
        <w:shd w:val="clear" w:color="auto" w:fill="FFFFFF" w:themeFill="background1"/>
        <w:ind w:firstLine="709"/>
        <w:jc w:val="both"/>
        <w:rPr>
          <w:sz w:val="24"/>
          <w:szCs w:val="24"/>
        </w:rPr>
      </w:pPr>
      <w:r>
        <w:rPr>
          <w:sz w:val="24"/>
          <w:szCs w:val="24"/>
          <w:shd w:val="clear" w:color="auto" w:fill="FFFFFF" w:themeFill="background1"/>
        </w:rPr>
        <w:t>Норматив зачисления в бюджет ЗАТО Северск 100%.</w:t>
      </w:r>
    </w:p>
    <w:p>
      <w:pPr>
        <w:pStyle w:val="a5"/>
        <w:shd w:val="clear" w:color="auto" w:fill="FFFFFF" w:themeFill="background1"/>
        <w:spacing w:after="0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Главный администратор доходов по налогу, взимаемому в связи с применением патентной системы налогообложения – ИФНС России по ЗАТО Северск Томской области.</w:t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Согласно данным статистической налоговой отчетности по форме </w:t>
      </w:r>
      <w:r>
        <w:rPr>
          <w:sz w:val="24"/>
          <w:szCs w:val="24"/>
        </w:rPr>
        <w:br/>
        <w:t xml:space="preserve">№ 1-Патент за 2019 год выдан 91 патент по 18 видам предпринимательской деятельности; количество индивидуальных предпринимателей, применяющих патентную систему налогообложения, </w:t>
      </w:r>
      <w:r>
        <w:rPr>
          <w:sz w:val="24"/>
          <w:szCs w:val="24"/>
          <w:shd w:val="clear" w:color="auto" w:fill="FFFFFF" w:themeFill="background1"/>
        </w:rPr>
        <w:t>составило 80</w:t>
      </w:r>
      <w:r>
        <w:rPr>
          <w:sz w:val="24"/>
          <w:szCs w:val="24"/>
        </w:rPr>
        <w:t xml:space="preserve"> человек. </w:t>
      </w:r>
    </w:p>
    <w:p>
      <w:pPr>
        <w:pStyle w:val="a5"/>
        <w:spacing w:after="0"/>
        <w:ind w:firstLine="720"/>
        <w:jc w:val="both"/>
        <w:rPr>
          <w:sz w:val="24"/>
          <w:szCs w:val="24"/>
        </w:rPr>
      </w:pPr>
      <w:r>
        <w:rPr>
          <w:sz w:val="24"/>
          <w:szCs w:val="24"/>
          <w:shd w:val="clear" w:color="auto" w:fill="FFFFFF" w:themeFill="background1"/>
        </w:rPr>
        <w:t xml:space="preserve">По сравнению с 2018 годом поступление доходов по статье увеличилось на 120,07 тыс.руб., </w:t>
      </w:r>
      <w:r>
        <w:rPr>
          <w:sz w:val="24"/>
          <w:szCs w:val="24"/>
        </w:rPr>
        <w:t>или на 13,3%, что обусловлено увеличением количества выданных патентов на 21 единицу.</w:t>
      </w:r>
    </w:p>
    <w:p>
      <w:pPr>
        <w:ind w:right="45" w:firstLine="720"/>
        <w:jc w:val="both"/>
        <w:rPr>
          <w:sz w:val="24"/>
          <w:szCs w:val="24"/>
        </w:rPr>
      </w:pPr>
      <w:r>
        <w:rPr>
          <w:sz w:val="24"/>
          <w:szCs w:val="24"/>
        </w:rPr>
        <w:t>Задолженность налогоплательщиков по налогу, взимаемому в связи с применением патентной системы налогообложения в 2019 году увеличилась на 14,1 тыс.руб.</w:t>
      </w:r>
    </w:p>
    <w:p>
      <w:pPr>
        <w:spacing w:before="120" w:after="60"/>
        <w:ind w:right="45" w:firstLine="720"/>
        <w:jc w:val="both"/>
        <w:rPr>
          <w:sz w:val="24"/>
          <w:szCs w:val="24"/>
        </w:rPr>
      </w:pPr>
      <w:r>
        <w:rPr>
          <w:sz w:val="24"/>
          <w:szCs w:val="24"/>
        </w:rPr>
        <w:t>Таблица 17. Анализ задолженности по налогу, взимаемому в связи с применением патентной системы налогообложения, за 2018 - 2019 гг.</w:t>
      </w:r>
    </w:p>
    <w:tbl>
      <w:tblPr>
        <w:tblW w:w="9368" w:type="dxa"/>
        <w:tblInd w:w="96" w:type="dxa"/>
        <w:tblLayout w:type="fixed"/>
        <w:tblLook w:val="0000"/>
      </w:tblPr>
      <w:tblGrid>
        <w:gridCol w:w="3981"/>
        <w:gridCol w:w="1418"/>
        <w:gridCol w:w="1417"/>
        <w:gridCol w:w="1418"/>
        <w:gridCol w:w="1134"/>
      </w:tblGrid>
      <w:tr>
        <w:trPr>
          <w:cantSplit/>
          <w:trHeight w:val="324"/>
        </w:trPr>
        <w:tc>
          <w:tcPr>
            <w:tcW w:w="39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</w:pPr>
            <w:r>
              <w:t>Наименование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ind w:left="-57" w:right="-57"/>
              <w:jc w:val="center"/>
            </w:pPr>
            <w:r>
              <w:rPr>
                <w:bCs/>
              </w:rPr>
              <w:t>Задолженность, тыс.руб.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Отклонение</w:t>
            </w:r>
          </w:p>
        </w:tc>
      </w:tr>
      <w:tr>
        <w:trPr>
          <w:cantSplit/>
          <w:trHeight w:val="226"/>
        </w:trPr>
        <w:tc>
          <w:tcPr>
            <w:tcW w:w="39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ind w:left="-57" w:right="-57"/>
              <w:jc w:val="center"/>
            </w:pPr>
            <w:r>
              <w:t>на 01.01.2019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 w:right="-57"/>
              <w:jc w:val="center"/>
            </w:pPr>
            <w:r>
              <w:t>на 01.01.2020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 w:right="-57"/>
              <w:jc w:val="center"/>
            </w:pPr>
            <w:r>
              <w:t>абсолютное тыс</w:t>
            </w:r>
            <w:proofErr w:type="gramStart"/>
            <w:r>
              <w:t>.р</w:t>
            </w:r>
            <w:proofErr w:type="gramEnd"/>
            <w:r>
              <w:t>уб.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ind w:left="-57" w:right="-57"/>
              <w:jc w:val="center"/>
            </w:pPr>
            <w:proofErr w:type="gramStart"/>
            <w:r>
              <w:t>относи-тельное</w:t>
            </w:r>
            <w:proofErr w:type="gramEnd"/>
            <w:r>
              <w:t xml:space="preserve"> %</w:t>
            </w:r>
          </w:p>
        </w:tc>
      </w:tr>
      <w:tr>
        <w:trPr>
          <w:cantSplit/>
          <w:trHeight w:val="340"/>
        </w:trPr>
        <w:tc>
          <w:tcPr>
            <w:tcW w:w="3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 w:right="-57"/>
            </w:pPr>
            <w:r>
              <w:t>Налог, взимаемый в связи с применением патентной системы налогообложения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/>
              <w:jc w:val="right"/>
            </w:pPr>
            <w:r>
              <w:t>32,6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/>
              <w:jc w:val="right"/>
            </w:pPr>
            <w:r>
              <w:t>46,7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/>
              <w:jc w:val="right"/>
            </w:pPr>
            <w:r>
              <w:t>14,1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/>
              <w:jc w:val="center"/>
            </w:pPr>
            <w:r>
              <w:t>143,3</w:t>
            </w:r>
          </w:p>
        </w:tc>
      </w:tr>
    </w:tbl>
    <w:p>
      <w:pPr>
        <w:rPr>
          <w:b/>
          <w:sz w:val="24"/>
          <w:szCs w:val="24"/>
          <w:highlight w:val="yellow"/>
        </w:rPr>
      </w:pPr>
    </w:p>
    <w:p>
      <w:pPr>
        <w:spacing w:after="1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3.1.7. Налог на имущество физических лиц</w:t>
      </w:r>
    </w:p>
    <w:p>
      <w:pPr>
        <w:pStyle w:val="a5"/>
        <w:shd w:val="clear" w:color="auto" w:fill="FFFFFF" w:themeFill="background1"/>
        <w:spacing w:after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Прогноз поступлений по статье «Налог на имущество физических лиц» (НИФЛ) составлял 34 503,00 тыс.руб., фактическое исполнение – 32 516,55 тыс.руб., невыполнение на 1 986,45 тыс.руб. или на 5,8%.</w:t>
      </w:r>
    </w:p>
    <w:p>
      <w:pPr>
        <w:spacing w:before="120" w:after="60"/>
        <w:ind w:right="45" w:firstLine="720"/>
        <w:jc w:val="both"/>
        <w:rPr>
          <w:sz w:val="24"/>
          <w:szCs w:val="24"/>
        </w:rPr>
      </w:pPr>
      <w:r>
        <w:rPr>
          <w:sz w:val="24"/>
          <w:szCs w:val="24"/>
        </w:rPr>
        <w:t>Таблица 18. Анализ поступления НИФЛ за 2018 - 2019 гг.</w:t>
      </w:r>
    </w:p>
    <w:tbl>
      <w:tblPr>
        <w:tblW w:w="9368" w:type="dxa"/>
        <w:tblInd w:w="96" w:type="dxa"/>
        <w:tblLayout w:type="fixed"/>
        <w:tblLook w:val="0000"/>
      </w:tblPr>
      <w:tblGrid>
        <w:gridCol w:w="2564"/>
        <w:gridCol w:w="1134"/>
        <w:gridCol w:w="1134"/>
        <w:gridCol w:w="1276"/>
        <w:gridCol w:w="1134"/>
        <w:gridCol w:w="1275"/>
        <w:gridCol w:w="851"/>
      </w:tblGrid>
      <w:tr>
        <w:trPr>
          <w:cantSplit/>
          <w:trHeight w:val="185"/>
        </w:trPr>
        <w:tc>
          <w:tcPr>
            <w:tcW w:w="2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</w:pPr>
            <w:r>
              <w:t>Наименование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>
            <w:pPr>
              <w:ind w:left="-57" w:right="-57"/>
              <w:jc w:val="center"/>
              <w:rPr>
                <w:bCs/>
              </w:rPr>
            </w:pPr>
            <w:r>
              <w:rPr>
                <w:bCs/>
              </w:rPr>
              <w:t xml:space="preserve">Факт </w:t>
            </w:r>
          </w:p>
          <w:p>
            <w:pPr>
              <w:ind w:left="-57" w:right="-57"/>
              <w:jc w:val="center"/>
              <w:rPr>
                <w:bCs/>
              </w:rPr>
            </w:pPr>
            <w:r>
              <w:rPr>
                <w:bCs/>
              </w:rPr>
              <w:t>2018 год, тыс.руб.</w:t>
            </w: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 w:right="-57"/>
              <w:jc w:val="center"/>
            </w:pPr>
            <w:r>
              <w:t>2019 год</w:t>
            </w:r>
          </w:p>
        </w:tc>
      </w:tr>
      <w:tr>
        <w:trPr>
          <w:cantSplit/>
          <w:trHeight w:val="766"/>
        </w:trPr>
        <w:tc>
          <w:tcPr>
            <w:tcW w:w="2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ind w:left="-57" w:right="-57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ind w:left="-158" w:right="-108"/>
              <w:jc w:val="center"/>
            </w:pPr>
            <w:proofErr w:type="spellStart"/>
            <w:r>
              <w:t>Первона-чальный</w:t>
            </w:r>
            <w:proofErr w:type="spellEnd"/>
            <w:r>
              <w:t xml:space="preserve"> прогноз, тыс</w:t>
            </w:r>
            <w:proofErr w:type="gramStart"/>
            <w:r>
              <w:t>.р</w:t>
            </w:r>
            <w:proofErr w:type="gramEnd"/>
            <w:r>
              <w:t>уб.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158" w:right="-108"/>
              <w:jc w:val="center"/>
            </w:pPr>
            <w:r>
              <w:t>Уточненный прогноз,</w:t>
            </w:r>
            <w:r>
              <w:br/>
              <w:t>тыс</w:t>
            </w:r>
            <w:proofErr w:type="gramStart"/>
            <w:r>
              <w:t>.р</w:t>
            </w:r>
            <w:proofErr w:type="gramEnd"/>
            <w:r>
              <w:t>уб.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108" w:right="-108"/>
              <w:jc w:val="center"/>
            </w:pPr>
            <w:r>
              <w:t xml:space="preserve">Факт, </w:t>
            </w:r>
            <w:r>
              <w:br/>
              <w:t>тыс.руб.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pStyle w:val="a5"/>
              <w:tabs>
                <w:tab w:val="left" w:pos="-108"/>
                <w:tab w:val="left" w:pos="-77"/>
              </w:tabs>
              <w:spacing w:after="0"/>
              <w:ind w:left="-108" w:right="-108"/>
              <w:jc w:val="center"/>
            </w:pPr>
            <w:r>
              <w:t>Отклонение</w:t>
            </w:r>
          </w:p>
          <w:p>
            <w:pPr>
              <w:pStyle w:val="a5"/>
              <w:tabs>
                <w:tab w:val="left" w:pos="-108"/>
                <w:tab w:val="left" w:pos="-77"/>
              </w:tabs>
              <w:spacing w:after="0"/>
              <w:ind w:left="-108" w:right="-108"/>
              <w:jc w:val="center"/>
            </w:pPr>
            <w:r>
              <w:t>тыс.руб.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a5"/>
              <w:tabs>
                <w:tab w:val="left" w:pos="-192"/>
                <w:tab w:val="left" w:pos="-77"/>
              </w:tabs>
              <w:spacing w:after="0"/>
              <w:ind w:left="-108" w:right="-108"/>
              <w:jc w:val="center"/>
            </w:pPr>
            <w:r>
              <w:t>%</w:t>
            </w:r>
          </w:p>
          <w:p>
            <w:pPr>
              <w:pStyle w:val="a5"/>
              <w:tabs>
                <w:tab w:val="left" w:pos="-192"/>
                <w:tab w:val="left" w:pos="0"/>
              </w:tabs>
              <w:spacing w:after="0"/>
              <w:ind w:left="-108" w:right="-108"/>
              <w:jc w:val="center"/>
            </w:pPr>
            <w:proofErr w:type="spellStart"/>
            <w:proofErr w:type="gramStart"/>
            <w:r>
              <w:t>испол-нения</w:t>
            </w:r>
            <w:proofErr w:type="spellEnd"/>
            <w:proofErr w:type="gramEnd"/>
          </w:p>
        </w:tc>
      </w:tr>
      <w:tr>
        <w:trPr>
          <w:cantSplit/>
          <w:trHeight w:val="182"/>
        </w:trPr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76" w:right="-14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6=5-4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ind w:right="-10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7=5/4</w:t>
            </w:r>
          </w:p>
        </w:tc>
      </w:tr>
      <w:tr>
        <w:trPr>
          <w:cantSplit/>
          <w:trHeight w:val="421"/>
        </w:trPr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 w:right="-57"/>
            </w:pPr>
            <w:r>
              <w:t>НИФЛ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r>
              <w:t>28 690,22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r>
              <w:t>33 103,00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r>
              <w:t>34 503,00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r>
              <w:t>32 516,55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r>
              <w:t>-1 986,45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ind w:left="-57" w:right="-57"/>
              <w:jc w:val="center"/>
              <w:rPr>
                <w:color w:val="000000"/>
              </w:rPr>
            </w:pPr>
            <w:r>
              <w:rPr>
                <w:color w:val="000000"/>
              </w:rPr>
              <w:t>94,2</w:t>
            </w:r>
          </w:p>
        </w:tc>
      </w:tr>
    </w:tbl>
    <w:p>
      <w:pPr>
        <w:pStyle w:val="a5"/>
        <w:shd w:val="clear" w:color="auto" w:fill="FFFFFF" w:themeFill="background1"/>
        <w:spacing w:before="120" w:after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Удельный вес статьи в общей структуре фактически поступивших доходов составляет 0,7%, налоговых и неналоговых доходах - 2,9%.</w:t>
      </w:r>
    </w:p>
    <w:p>
      <w:pPr>
        <w:shd w:val="clear" w:color="auto" w:fill="FFFFFF" w:themeFill="background1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Норматив зачисления в бюджет ЗАТО Северск 100%.</w:t>
      </w:r>
    </w:p>
    <w:p>
      <w:pPr>
        <w:shd w:val="clear" w:color="auto" w:fill="FFFFFF" w:themeFill="background1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Главный администратор доходов по НИФЛ – ИФНС России по ЗАТО Северск Томской области.</w:t>
      </w:r>
    </w:p>
    <w:p>
      <w:pPr>
        <w:shd w:val="clear" w:color="auto" w:fill="FFFFFF" w:themeFill="background1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 2019 году в бюджет ЗАТО Северск поступил налог, исчисленный за 2018 год.</w:t>
      </w:r>
    </w:p>
    <w:p>
      <w:pPr>
        <w:shd w:val="clear" w:color="auto" w:fill="FFFFFF" w:themeFill="background1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Невыполнение прогноза поступлений обусловлено в том числе увеличением сумм возвратов в связи с перерасчетом начислений по налогу за 2016 – 2018 годы </w:t>
      </w:r>
      <w:r>
        <w:rPr>
          <w:sz w:val="24"/>
          <w:szCs w:val="24"/>
        </w:rPr>
        <w:lastRenderedPageBreak/>
        <w:t>в соответствии с постановлением Конституционного суда Российской Федерации от 15.02.2019 № 10-П «По делу о проверке конституционности статьи 402 Налогового кодекса Российской Федерации…».</w:t>
      </w:r>
    </w:p>
    <w:p>
      <w:pPr>
        <w:pStyle w:val="a5"/>
        <w:shd w:val="clear" w:color="auto" w:fill="FFFFFF" w:themeFill="background1"/>
        <w:spacing w:after="0"/>
        <w:ind w:firstLine="708"/>
        <w:jc w:val="both"/>
        <w:rPr>
          <w:sz w:val="24"/>
          <w:szCs w:val="24"/>
        </w:rPr>
      </w:pPr>
      <w:r>
        <w:rPr>
          <w:sz w:val="24"/>
          <w:szCs w:val="24"/>
          <w:shd w:val="clear" w:color="auto" w:fill="FFFFFF" w:themeFill="background1"/>
        </w:rPr>
        <w:t xml:space="preserve">По сравнению с 2018 годом поступление по НИФЛ увеличилось на 3 826,33 тыс.руб. или на 13,3%, что </w:t>
      </w:r>
      <w:r>
        <w:rPr>
          <w:sz w:val="24"/>
          <w:szCs w:val="24"/>
        </w:rPr>
        <w:t>обусловлено:</w:t>
      </w:r>
    </w:p>
    <w:p>
      <w:pPr>
        <w:pStyle w:val="af8"/>
        <w:numPr>
          <w:ilvl w:val="0"/>
          <w:numId w:val="13"/>
        </w:numPr>
        <w:shd w:val="clear" w:color="auto" w:fill="FFFFFF" w:themeFill="background1"/>
        <w:tabs>
          <w:tab w:val="left" w:pos="993"/>
        </w:tabs>
        <w:autoSpaceDE w:val="0"/>
        <w:autoSpaceDN w:val="0"/>
        <w:adjustRightInd w:val="0"/>
        <w:ind w:left="0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индексацией инвентаризационной стоимости имущества на коэффициент </w:t>
      </w:r>
      <w:proofErr w:type="gramStart"/>
      <w:r>
        <w:rPr>
          <w:sz w:val="24"/>
          <w:szCs w:val="24"/>
        </w:rPr>
        <w:t>–д</w:t>
      </w:r>
      <w:proofErr w:type="gramEnd"/>
      <w:r>
        <w:rPr>
          <w:sz w:val="24"/>
          <w:szCs w:val="24"/>
        </w:rPr>
        <w:t>ефлятор, установленный Минэкономразвития России; рост коэффициента – дефлятора на 2018 год относительно установленного на 2017 год составил 3,9%:</w:t>
      </w:r>
    </w:p>
    <w:p>
      <w:pPr>
        <w:pStyle w:val="af8"/>
        <w:shd w:val="clear" w:color="auto" w:fill="FFFFFF" w:themeFill="background1"/>
        <w:tabs>
          <w:tab w:val="left" w:pos="993"/>
        </w:tabs>
        <w:autoSpaceDE w:val="0"/>
        <w:autoSpaceDN w:val="0"/>
        <w:adjustRightInd w:val="0"/>
        <w:ind w:left="0" w:firstLine="708"/>
        <w:jc w:val="both"/>
        <w:rPr>
          <w:sz w:val="24"/>
          <w:szCs w:val="24"/>
        </w:rPr>
      </w:pPr>
      <w:r>
        <w:rPr>
          <w:sz w:val="24"/>
          <w:szCs w:val="24"/>
        </w:rPr>
        <w:t>- размер коэффициента – дефлятора на 2017 год - 1,425 (приказ Минэкономразвития России от 03.11.2016 № 698);</w:t>
      </w:r>
    </w:p>
    <w:p>
      <w:pPr>
        <w:pStyle w:val="af8"/>
        <w:shd w:val="clear" w:color="auto" w:fill="FFFFFF" w:themeFill="background1"/>
        <w:tabs>
          <w:tab w:val="left" w:pos="993"/>
        </w:tabs>
        <w:autoSpaceDE w:val="0"/>
        <w:autoSpaceDN w:val="0"/>
        <w:adjustRightInd w:val="0"/>
        <w:ind w:left="0" w:firstLine="708"/>
        <w:jc w:val="both"/>
        <w:rPr>
          <w:sz w:val="24"/>
          <w:szCs w:val="24"/>
        </w:rPr>
      </w:pPr>
      <w:r>
        <w:rPr>
          <w:sz w:val="24"/>
          <w:szCs w:val="24"/>
        </w:rPr>
        <w:t>- размер коэффициента – дефлятора на 2018 год - 1,481 (приказ Минэкономразвития России от 30.10.2017 № 579);</w:t>
      </w:r>
    </w:p>
    <w:p>
      <w:pPr>
        <w:pStyle w:val="af8"/>
        <w:numPr>
          <w:ilvl w:val="0"/>
          <w:numId w:val="13"/>
        </w:numPr>
        <w:shd w:val="clear" w:color="auto" w:fill="FFFFFF" w:themeFill="background1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увеличением размера налоговых </w:t>
      </w:r>
      <w:r>
        <w:rPr>
          <w:sz w:val="24"/>
          <w:szCs w:val="24"/>
          <w:shd w:val="clear" w:color="auto" w:fill="FFFFFF" w:themeFill="background1"/>
        </w:rPr>
        <w:t>ставок по жилым</w:t>
      </w:r>
      <w:r>
        <w:rPr>
          <w:sz w:val="24"/>
          <w:szCs w:val="24"/>
        </w:rPr>
        <w:t xml:space="preserve"> помещениям, по которым значения ставок не достигли установленных пороговых значений (Решение </w:t>
      </w:r>
      <w:proofErr w:type="gramStart"/>
      <w:r>
        <w:rPr>
          <w:sz w:val="24"/>
          <w:szCs w:val="24"/>
        </w:rPr>
        <w:t>Думы</w:t>
      </w:r>
      <w:proofErr w:type="gramEnd"/>
      <w:r>
        <w:rPr>
          <w:sz w:val="24"/>
          <w:szCs w:val="24"/>
        </w:rPr>
        <w:t xml:space="preserve"> ЗАТО Северск от 30.08.2017 № 29/6 «О внесении изменения в Решение Думы ЗАТО Северск от 07.11.2014 № 57/3 «О налоге на имущество физических лиц на территории ЗАТО Северск»); </w:t>
      </w:r>
    </w:p>
    <w:p>
      <w:pPr>
        <w:pStyle w:val="af8"/>
        <w:numPr>
          <w:ilvl w:val="0"/>
          <w:numId w:val="13"/>
        </w:numPr>
        <w:shd w:val="clear" w:color="auto" w:fill="FFFFFF" w:themeFill="background1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установлением налоговой ставки в размере 2% по объектам, включенным в перечень объектов, налоговая база по которым определяется как кадастровая стоимость (увеличение на 0,5%).</w:t>
      </w:r>
    </w:p>
    <w:p>
      <w:pPr>
        <w:ind w:right="45" w:firstLine="709"/>
        <w:jc w:val="both"/>
        <w:rPr>
          <w:sz w:val="24"/>
          <w:szCs w:val="24"/>
        </w:rPr>
      </w:pPr>
      <w:r>
        <w:rPr>
          <w:sz w:val="24"/>
          <w:szCs w:val="24"/>
        </w:rPr>
        <w:t>Задолженность налогоплательщиков по НИФЛ в 2019 году сократилась на 1 427,2 тыс.руб.</w:t>
      </w:r>
    </w:p>
    <w:p>
      <w:pPr>
        <w:spacing w:before="120" w:after="60"/>
        <w:ind w:right="45" w:firstLine="709"/>
        <w:jc w:val="both"/>
        <w:rPr>
          <w:sz w:val="24"/>
          <w:szCs w:val="24"/>
        </w:rPr>
      </w:pPr>
      <w:r>
        <w:rPr>
          <w:sz w:val="24"/>
          <w:szCs w:val="24"/>
        </w:rPr>
        <w:t>Таблица 19. Анализ задолженности по НИФЛ за 2018 - 2019 гг.</w:t>
      </w:r>
    </w:p>
    <w:tbl>
      <w:tblPr>
        <w:tblW w:w="9368" w:type="dxa"/>
        <w:tblInd w:w="96" w:type="dxa"/>
        <w:tblLayout w:type="fixed"/>
        <w:tblLook w:val="0000"/>
      </w:tblPr>
      <w:tblGrid>
        <w:gridCol w:w="3981"/>
        <w:gridCol w:w="1418"/>
        <w:gridCol w:w="1417"/>
        <w:gridCol w:w="1418"/>
        <w:gridCol w:w="1134"/>
      </w:tblGrid>
      <w:tr>
        <w:trPr>
          <w:cantSplit/>
          <w:trHeight w:val="324"/>
        </w:trPr>
        <w:tc>
          <w:tcPr>
            <w:tcW w:w="39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</w:pPr>
            <w:r>
              <w:t>Наименование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ind w:left="-57" w:right="-57"/>
              <w:jc w:val="center"/>
            </w:pPr>
            <w:r>
              <w:rPr>
                <w:bCs/>
              </w:rPr>
              <w:t>Задолженность, тыс.руб.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Отклонение</w:t>
            </w:r>
          </w:p>
        </w:tc>
      </w:tr>
      <w:tr>
        <w:trPr>
          <w:cantSplit/>
          <w:trHeight w:val="226"/>
        </w:trPr>
        <w:tc>
          <w:tcPr>
            <w:tcW w:w="39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ind w:left="-57" w:right="-57"/>
              <w:jc w:val="center"/>
            </w:pPr>
            <w:r>
              <w:t>на 01.01.2019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 w:right="-57"/>
              <w:jc w:val="center"/>
            </w:pPr>
            <w:r>
              <w:t>на 01.01.2020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 w:right="-57"/>
              <w:jc w:val="center"/>
            </w:pPr>
            <w:r>
              <w:t>абсолютное тыс</w:t>
            </w:r>
            <w:proofErr w:type="gramStart"/>
            <w:r>
              <w:t>.р</w:t>
            </w:r>
            <w:proofErr w:type="gramEnd"/>
            <w:r>
              <w:t>уб.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ind w:left="-57" w:right="-57"/>
              <w:jc w:val="center"/>
            </w:pPr>
            <w:proofErr w:type="gramStart"/>
            <w:r>
              <w:t>относи-тельное</w:t>
            </w:r>
            <w:proofErr w:type="gramEnd"/>
            <w:r>
              <w:t xml:space="preserve"> %</w:t>
            </w:r>
          </w:p>
        </w:tc>
      </w:tr>
      <w:tr>
        <w:trPr>
          <w:cantSplit/>
          <w:trHeight w:val="340"/>
        </w:trPr>
        <w:tc>
          <w:tcPr>
            <w:tcW w:w="3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 w:right="-57"/>
            </w:pPr>
            <w:r>
              <w:t>НИФЛ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ind w:left="-57"/>
              <w:jc w:val="right"/>
            </w:pPr>
            <w:r>
              <w:t>13 938,7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/>
              <w:jc w:val="right"/>
            </w:pPr>
            <w:r>
              <w:t>12 511,5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/>
              <w:jc w:val="right"/>
            </w:pPr>
            <w:r>
              <w:t>-1 427,2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/>
              <w:jc w:val="center"/>
            </w:pPr>
            <w:r>
              <w:t>89,8</w:t>
            </w:r>
          </w:p>
        </w:tc>
      </w:tr>
    </w:tbl>
    <w:p>
      <w:pPr>
        <w:shd w:val="clear" w:color="auto" w:fill="FFFFFF" w:themeFill="background1"/>
        <w:spacing w:after="120"/>
        <w:jc w:val="center"/>
        <w:rPr>
          <w:b/>
          <w:sz w:val="24"/>
          <w:szCs w:val="24"/>
          <w:highlight w:val="yellow"/>
        </w:rPr>
      </w:pPr>
    </w:p>
    <w:p>
      <w:pPr>
        <w:shd w:val="clear" w:color="auto" w:fill="FFFFFF" w:themeFill="background1"/>
        <w:spacing w:after="1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3.1.8. Земельный налог</w:t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Прогноз поступлений по статье «Земельный налог» составлял 109 152,00 тыс.руб., фактическое исполнение – 108 373,19 тыс.руб., невыполнение на 778,81 тыс.руб. или на 0,7%. </w:t>
      </w:r>
    </w:p>
    <w:p>
      <w:pPr>
        <w:spacing w:before="120" w:after="60"/>
        <w:ind w:right="45" w:firstLine="720"/>
        <w:jc w:val="both"/>
        <w:rPr>
          <w:sz w:val="24"/>
          <w:szCs w:val="24"/>
        </w:rPr>
      </w:pPr>
      <w:r>
        <w:rPr>
          <w:sz w:val="24"/>
          <w:szCs w:val="24"/>
        </w:rPr>
        <w:t>Таблица 20. Анализ поступления земельного налога за 2018 - 2019 гг.</w:t>
      </w:r>
    </w:p>
    <w:tbl>
      <w:tblPr>
        <w:tblW w:w="9368" w:type="dxa"/>
        <w:tblInd w:w="96" w:type="dxa"/>
        <w:tblLayout w:type="fixed"/>
        <w:tblLook w:val="0000"/>
      </w:tblPr>
      <w:tblGrid>
        <w:gridCol w:w="2422"/>
        <w:gridCol w:w="1134"/>
        <w:gridCol w:w="1276"/>
        <w:gridCol w:w="1276"/>
        <w:gridCol w:w="1134"/>
        <w:gridCol w:w="1134"/>
        <w:gridCol w:w="992"/>
      </w:tblGrid>
      <w:tr>
        <w:trPr>
          <w:cantSplit/>
          <w:trHeight w:val="283"/>
        </w:trPr>
        <w:tc>
          <w:tcPr>
            <w:tcW w:w="2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</w:pPr>
            <w:r>
              <w:t>Наименование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>
            <w:pPr>
              <w:ind w:left="-57" w:right="-57"/>
              <w:jc w:val="center"/>
              <w:rPr>
                <w:bCs/>
              </w:rPr>
            </w:pPr>
            <w:r>
              <w:rPr>
                <w:bCs/>
              </w:rPr>
              <w:t xml:space="preserve">Факт </w:t>
            </w:r>
          </w:p>
          <w:p>
            <w:pPr>
              <w:ind w:left="-57" w:right="-57"/>
              <w:jc w:val="center"/>
              <w:rPr>
                <w:bCs/>
              </w:rPr>
            </w:pPr>
            <w:r>
              <w:rPr>
                <w:bCs/>
              </w:rPr>
              <w:t>2018 год, тыс.руб.</w:t>
            </w: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 w:right="-57"/>
              <w:jc w:val="center"/>
            </w:pPr>
            <w:r>
              <w:t>2019 год</w:t>
            </w:r>
          </w:p>
        </w:tc>
      </w:tr>
      <w:tr>
        <w:trPr>
          <w:cantSplit/>
          <w:trHeight w:val="766"/>
        </w:trPr>
        <w:tc>
          <w:tcPr>
            <w:tcW w:w="24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ind w:left="-57" w:right="-57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ind w:left="-158" w:right="-108"/>
              <w:jc w:val="center"/>
            </w:pPr>
            <w:proofErr w:type="spellStart"/>
            <w:r>
              <w:t>Первона-чальный</w:t>
            </w:r>
            <w:proofErr w:type="spellEnd"/>
            <w:r>
              <w:t xml:space="preserve"> прогноз, тыс</w:t>
            </w:r>
            <w:proofErr w:type="gramStart"/>
            <w:r>
              <w:t>.р</w:t>
            </w:r>
            <w:proofErr w:type="gramEnd"/>
            <w:r>
              <w:t>уб.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158" w:right="-108"/>
              <w:jc w:val="center"/>
            </w:pPr>
            <w:r>
              <w:t>Уточненный прогноз,</w:t>
            </w:r>
            <w:r>
              <w:br/>
              <w:t>тыс</w:t>
            </w:r>
            <w:proofErr w:type="gramStart"/>
            <w:r>
              <w:t>.р</w:t>
            </w:r>
            <w:proofErr w:type="gramEnd"/>
            <w:r>
              <w:t>уб.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108" w:right="-108"/>
              <w:jc w:val="center"/>
            </w:pPr>
            <w:r>
              <w:t xml:space="preserve">Факт, </w:t>
            </w:r>
            <w:r>
              <w:br/>
              <w:t>тыс.руб.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pStyle w:val="a5"/>
              <w:tabs>
                <w:tab w:val="left" w:pos="-108"/>
                <w:tab w:val="left" w:pos="-77"/>
              </w:tabs>
              <w:spacing w:after="0"/>
              <w:ind w:left="-108" w:right="-108"/>
              <w:jc w:val="center"/>
            </w:pPr>
            <w:r>
              <w:t>Отклонение</w:t>
            </w:r>
          </w:p>
          <w:p>
            <w:pPr>
              <w:pStyle w:val="a5"/>
              <w:tabs>
                <w:tab w:val="left" w:pos="-108"/>
                <w:tab w:val="left" w:pos="-77"/>
              </w:tabs>
              <w:spacing w:after="0"/>
              <w:ind w:left="-108" w:right="-108"/>
              <w:jc w:val="center"/>
            </w:pPr>
            <w:r>
              <w:t>тыс.руб.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a5"/>
              <w:tabs>
                <w:tab w:val="left" w:pos="-192"/>
                <w:tab w:val="left" w:pos="-77"/>
              </w:tabs>
              <w:spacing w:after="0"/>
              <w:ind w:left="-108" w:right="-108"/>
              <w:jc w:val="center"/>
            </w:pPr>
            <w:r>
              <w:t>%</w:t>
            </w:r>
          </w:p>
          <w:p>
            <w:pPr>
              <w:pStyle w:val="a5"/>
              <w:tabs>
                <w:tab w:val="left" w:pos="-192"/>
                <w:tab w:val="left" w:pos="0"/>
              </w:tabs>
              <w:spacing w:after="0"/>
              <w:ind w:left="-108" w:right="-108"/>
              <w:jc w:val="center"/>
            </w:pPr>
            <w:proofErr w:type="spellStart"/>
            <w:proofErr w:type="gramStart"/>
            <w:r>
              <w:t>испол-нения</w:t>
            </w:r>
            <w:proofErr w:type="spellEnd"/>
            <w:proofErr w:type="gramEnd"/>
          </w:p>
        </w:tc>
      </w:tr>
      <w:tr>
        <w:trPr>
          <w:cantSplit/>
          <w:trHeight w:val="214"/>
        </w:trPr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76" w:right="-14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6=5-4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ind w:right="-10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7=5/4</w:t>
            </w:r>
          </w:p>
        </w:tc>
      </w:tr>
      <w:tr>
        <w:trPr>
          <w:cantSplit/>
          <w:trHeight w:val="389"/>
        </w:trPr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 w:right="-57"/>
            </w:pPr>
            <w:r>
              <w:t xml:space="preserve">Земельный налог, </w:t>
            </w:r>
          </w:p>
          <w:p>
            <w:pPr>
              <w:ind w:left="-57" w:right="-57"/>
            </w:pPr>
            <w:r>
              <w:t>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right"/>
            </w:pPr>
            <w:r>
              <w:t>116 502,01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right"/>
            </w:pPr>
            <w:r>
              <w:t>104 927,00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right"/>
            </w:pPr>
            <w:r>
              <w:t>109 152,00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right"/>
            </w:pPr>
            <w:r>
              <w:t>108 373,19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right"/>
            </w:pPr>
            <w:r>
              <w:t>-778,81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right"/>
            </w:pPr>
            <w:r>
              <w:t>99,3</w:t>
            </w:r>
          </w:p>
        </w:tc>
      </w:tr>
      <w:tr>
        <w:trPr>
          <w:cantSplit/>
          <w:trHeight w:val="389"/>
        </w:trPr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 w:right="-57"/>
            </w:pPr>
            <w:r>
              <w:t xml:space="preserve">земельный налог, </w:t>
            </w:r>
            <w:proofErr w:type="spellStart"/>
            <w:proofErr w:type="gramStart"/>
            <w:r>
              <w:t>уплачи-ваемый</w:t>
            </w:r>
            <w:proofErr w:type="spellEnd"/>
            <w:proofErr w:type="gramEnd"/>
            <w:r>
              <w:t xml:space="preserve"> организациями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right"/>
            </w:pPr>
            <w:r>
              <w:t>110 313,77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right"/>
            </w:pPr>
            <w:r>
              <w:t>97 430,00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right"/>
            </w:pPr>
            <w:r>
              <w:t>102 082,65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right"/>
            </w:pPr>
            <w:r>
              <w:t>102 303,66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right"/>
            </w:pPr>
            <w:r>
              <w:t>221,01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right"/>
            </w:pPr>
            <w:r>
              <w:t>100,2</w:t>
            </w:r>
          </w:p>
        </w:tc>
      </w:tr>
      <w:tr>
        <w:trPr>
          <w:cantSplit/>
          <w:trHeight w:val="389"/>
        </w:trPr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 w:right="-57"/>
            </w:pPr>
            <w:r>
              <w:t xml:space="preserve">земельный налог, </w:t>
            </w:r>
            <w:proofErr w:type="spellStart"/>
            <w:proofErr w:type="gramStart"/>
            <w:r>
              <w:t>уплачи-ваемый</w:t>
            </w:r>
            <w:proofErr w:type="spellEnd"/>
            <w:proofErr w:type="gramEnd"/>
            <w:r>
              <w:t xml:space="preserve"> физ. лицами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right"/>
            </w:pPr>
            <w:r>
              <w:t>6 188,24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right"/>
            </w:pPr>
            <w:r>
              <w:t>7 497,00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right"/>
            </w:pPr>
            <w:r>
              <w:t>7 069,35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right"/>
            </w:pPr>
            <w:r>
              <w:t>6 069,53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right"/>
            </w:pPr>
            <w:r>
              <w:t>-999,82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right"/>
            </w:pPr>
            <w:r>
              <w:t>85,9</w:t>
            </w:r>
          </w:p>
        </w:tc>
      </w:tr>
    </w:tbl>
    <w:p>
      <w:pPr>
        <w:pStyle w:val="a5"/>
        <w:shd w:val="clear" w:color="auto" w:fill="FFFFFF" w:themeFill="background1"/>
        <w:spacing w:before="120" w:after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Удельный вес статьи в общей структуре фактически поступивших доходов составляет 2,4%, налоговых и неналоговых доходах - 9,6%. </w:t>
      </w:r>
    </w:p>
    <w:p>
      <w:pPr>
        <w:shd w:val="clear" w:color="auto" w:fill="FFFFFF" w:themeFill="background1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Норматив зачисления в бюджет ЗАТО Северск 100%.</w:t>
      </w:r>
    </w:p>
    <w:p>
      <w:pPr>
        <w:shd w:val="clear" w:color="auto" w:fill="FFFFFF" w:themeFill="background1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Главный администратор доходов по земельному налогу – ИФНС России по ЗАТО Северск Томской области.</w:t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Исполнение по земельному налогу в разрезе подстатей следующее:</w:t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 по земельному налогу, уплачиваемому организациями, перевыполнение на 221,01 тыс.руб. или на 0,2%;</w:t>
      </w:r>
    </w:p>
    <w:p>
      <w:pPr>
        <w:ind w:firstLine="709"/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lastRenderedPageBreak/>
        <w:t>- по земельному налогу, уплачиваемому физическими лицами, невыполнение на 999,82 тыс.руб. или на 14,1% в связи с увеличением количества налогоплательщиков, которым предоставляется налоговый вычет.</w:t>
      </w:r>
    </w:p>
    <w:p>
      <w:pPr>
        <w:shd w:val="clear" w:color="auto" w:fill="FFFFFF" w:themeFill="background1"/>
        <w:ind w:firstLine="709"/>
        <w:jc w:val="both"/>
        <w:rPr>
          <w:rFonts w:cs="Times New Roman CYR"/>
          <w:sz w:val="24"/>
          <w:szCs w:val="24"/>
        </w:rPr>
      </w:pPr>
      <w:r>
        <w:rPr>
          <w:sz w:val="24"/>
          <w:szCs w:val="24"/>
        </w:rPr>
        <w:t xml:space="preserve">По сравнению с 2018 годом снижение поступлений по статье на 8 128,82 тыс.руб. или на 7,0% в основном обусловлено тем, что в 2018 году от АО «СХК» поступил налог, </w:t>
      </w:r>
      <w:proofErr w:type="spellStart"/>
      <w:r>
        <w:rPr>
          <w:sz w:val="24"/>
          <w:szCs w:val="24"/>
        </w:rPr>
        <w:t>доначисленный</w:t>
      </w:r>
      <w:proofErr w:type="spellEnd"/>
      <w:r>
        <w:rPr>
          <w:sz w:val="24"/>
          <w:szCs w:val="24"/>
        </w:rPr>
        <w:t xml:space="preserve"> по судебному решению за 2015-2017 годы, в связи с увеличением кадастровой стоимости земельных участков.</w:t>
      </w:r>
    </w:p>
    <w:p>
      <w:pPr>
        <w:ind w:right="45" w:firstLine="709"/>
        <w:jc w:val="both"/>
        <w:rPr>
          <w:sz w:val="24"/>
          <w:szCs w:val="24"/>
        </w:rPr>
      </w:pPr>
      <w:r>
        <w:rPr>
          <w:sz w:val="24"/>
          <w:szCs w:val="24"/>
        </w:rPr>
        <w:t>Задолженность налогоплательщиков по земельному налогу в 2019 году уменьшилась на 242,9 тыс.руб.</w:t>
      </w:r>
    </w:p>
    <w:p>
      <w:pPr>
        <w:spacing w:before="120" w:after="60"/>
        <w:ind w:right="45" w:firstLine="720"/>
        <w:jc w:val="both"/>
        <w:rPr>
          <w:sz w:val="24"/>
          <w:szCs w:val="24"/>
        </w:rPr>
      </w:pPr>
      <w:r>
        <w:rPr>
          <w:sz w:val="24"/>
          <w:szCs w:val="24"/>
        </w:rPr>
        <w:t>Таблица 21. Анализ задолженности по земельному налогу за 2018 - 2019 гг.</w:t>
      </w:r>
    </w:p>
    <w:tbl>
      <w:tblPr>
        <w:tblW w:w="9368" w:type="dxa"/>
        <w:tblInd w:w="96" w:type="dxa"/>
        <w:tblLayout w:type="fixed"/>
        <w:tblLook w:val="0000"/>
      </w:tblPr>
      <w:tblGrid>
        <w:gridCol w:w="3981"/>
        <w:gridCol w:w="1418"/>
        <w:gridCol w:w="1417"/>
        <w:gridCol w:w="1418"/>
        <w:gridCol w:w="1134"/>
      </w:tblGrid>
      <w:tr>
        <w:trPr>
          <w:cantSplit/>
          <w:trHeight w:val="324"/>
        </w:trPr>
        <w:tc>
          <w:tcPr>
            <w:tcW w:w="39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</w:pPr>
            <w:r>
              <w:t>Наименование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ind w:left="-57" w:right="-57"/>
              <w:jc w:val="center"/>
            </w:pPr>
            <w:r>
              <w:rPr>
                <w:bCs/>
              </w:rPr>
              <w:t>Задолженность, тыс.руб.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Отклонение</w:t>
            </w:r>
          </w:p>
        </w:tc>
      </w:tr>
      <w:tr>
        <w:trPr>
          <w:cantSplit/>
          <w:trHeight w:val="226"/>
        </w:trPr>
        <w:tc>
          <w:tcPr>
            <w:tcW w:w="39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ind w:left="-57" w:right="-57"/>
              <w:jc w:val="center"/>
            </w:pPr>
            <w:r>
              <w:t>на 01.01.2019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 w:right="-57"/>
              <w:jc w:val="center"/>
            </w:pPr>
            <w:r>
              <w:t>на 01.01.2020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 w:right="-57"/>
              <w:jc w:val="center"/>
            </w:pPr>
            <w:r>
              <w:t>абсолютное тыс</w:t>
            </w:r>
            <w:proofErr w:type="gramStart"/>
            <w:r>
              <w:t>.р</w:t>
            </w:r>
            <w:proofErr w:type="gramEnd"/>
            <w:r>
              <w:t>уб.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ind w:left="-57" w:right="-57"/>
              <w:jc w:val="center"/>
            </w:pPr>
            <w:proofErr w:type="gramStart"/>
            <w:r>
              <w:t>относи-тельное</w:t>
            </w:r>
            <w:proofErr w:type="gramEnd"/>
            <w:r>
              <w:t xml:space="preserve"> %</w:t>
            </w:r>
          </w:p>
        </w:tc>
      </w:tr>
      <w:tr>
        <w:trPr>
          <w:cantSplit/>
          <w:trHeight w:val="340"/>
        </w:trPr>
        <w:tc>
          <w:tcPr>
            <w:tcW w:w="3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 w:right="-57"/>
            </w:pPr>
            <w:r>
              <w:t>Земельный налог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ind w:left="-57"/>
              <w:jc w:val="right"/>
            </w:pPr>
            <w:r>
              <w:t>2 348,4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/>
              <w:jc w:val="right"/>
            </w:pPr>
            <w:r>
              <w:t>2 105,5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/>
              <w:jc w:val="right"/>
            </w:pPr>
            <w:r>
              <w:t>-242,9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/>
              <w:jc w:val="center"/>
            </w:pPr>
            <w:r>
              <w:t>89,7</w:t>
            </w:r>
          </w:p>
        </w:tc>
      </w:tr>
    </w:tbl>
    <w:p>
      <w:pPr>
        <w:pStyle w:val="a5"/>
        <w:shd w:val="clear" w:color="auto" w:fill="FFFFFF" w:themeFill="background1"/>
        <w:spacing w:before="120" w:after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 с Постановлением Главы Администрации ЗАТО Северск от 31.08.2007 № 1848 «Об утверждении порядка оценки бюджетной и социальной эффективности льгот по местным налогам» по предоставленным Решением Думы ЗАТО Северск налоговым льготам по уплате земельного налога за 2019 год выполнен расчет суммы бюджетной и социальной эффективности, согласно которому налоговые льготы признаны эффективными.</w:t>
      </w:r>
    </w:p>
    <w:p>
      <w:pPr>
        <w:shd w:val="clear" w:color="auto" w:fill="FFFFFF" w:themeFill="background1"/>
        <w:rPr>
          <w:b/>
          <w:sz w:val="24"/>
          <w:szCs w:val="24"/>
          <w:highlight w:val="yellow"/>
        </w:rPr>
      </w:pPr>
    </w:p>
    <w:p>
      <w:pPr>
        <w:shd w:val="clear" w:color="auto" w:fill="FFFFFF" w:themeFill="background1"/>
        <w:spacing w:after="1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3.1.9. Налог на добычу общераспространенных полезных ископаемых</w:t>
      </w:r>
    </w:p>
    <w:p>
      <w:pPr>
        <w:shd w:val="clear" w:color="auto" w:fill="FFFFFF" w:themeFill="background1"/>
        <w:ind w:firstLine="709"/>
        <w:jc w:val="both"/>
        <w:rPr>
          <w:b/>
          <w:sz w:val="24"/>
          <w:szCs w:val="24"/>
        </w:rPr>
      </w:pPr>
      <w:r>
        <w:rPr>
          <w:sz w:val="24"/>
          <w:szCs w:val="24"/>
        </w:rPr>
        <w:t>Прогноз поступлений по статье «Налог на добычу общераспространенных полезных ископаемых» составлял 1,0 тыс.руб., исполнение отсутствует.</w:t>
      </w:r>
    </w:p>
    <w:p>
      <w:pPr>
        <w:shd w:val="clear" w:color="auto" w:fill="FFFFFF" w:themeFill="background1"/>
        <w:ind w:firstLine="709"/>
        <w:jc w:val="center"/>
        <w:rPr>
          <w:b/>
          <w:sz w:val="24"/>
          <w:szCs w:val="24"/>
        </w:rPr>
      </w:pPr>
    </w:p>
    <w:p>
      <w:pPr>
        <w:shd w:val="clear" w:color="auto" w:fill="FFFFFF" w:themeFill="background1"/>
        <w:spacing w:after="1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3.1.10. Государственная пошлина</w:t>
      </w:r>
    </w:p>
    <w:p>
      <w:pPr>
        <w:pStyle w:val="a5"/>
        <w:spacing w:after="0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Прогноз поступлений по статье «Государственная пошлина» составлял 13 640,00 тыс.руб., фактическое исполнение – 13 485,36 тыс.руб., невыполнение на 154,64 тыс.руб. или на 1,1%.</w:t>
      </w:r>
    </w:p>
    <w:p>
      <w:pPr>
        <w:spacing w:before="120" w:after="60"/>
        <w:ind w:right="45" w:firstLine="720"/>
        <w:jc w:val="both"/>
        <w:rPr>
          <w:sz w:val="24"/>
          <w:szCs w:val="24"/>
        </w:rPr>
      </w:pPr>
      <w:r>
        <w:rPr>
          <w:sz w:val="24"/>
          <w:szCs w:val="24"/>
        </w:rPr>
        <w:t>Таблица 22. Анализ поступления государственной пошлины за 2018 - 2019 гг.</w:t>
      </w:r>
    </w:p>
    <w:tbl>
      <w:tblPr>
        <w:tblW w:w="9509" w:type="dxa"/>
        <w:tblInd w:w="96" w:type="dxa"/>
        <w:tblLayout w:type="fixed"/>
        <w:tblLook w:val="0000"/>
      </w:tblPr>
      <w:tblGrid>
        <w:gridCol w:w="2564"/>
        <w:gridCol w:w="1134"/>
        <w:gridCol w:w="1276"/>
        <w:gridCol w:w="1275"/>
        <w:gridCol w:w="1134"/>
        <w:gridCol w:w="1134"/>
        <w:gridCol w:w="992"/>
      </w:tblGrid>
      <w:tr>
        <w:trPr>
          <w:cantSplit/>
          <w:trHeight w:val="324"/>
        </w:trPr>
        <w:tc>
          <w:tcPr>
            <w:tcW w:w="2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</w:pPr>
            <w:r>
              <w:t>Наименование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 w:right="-57"/>
              <w:jc w:val="center"/>
              <w:rPr>
                <w:bCs/>
              </w:rPr>
            </w:pPr>
            <w:r>
              <w:rPr>
                <w:bCs/>
              </w:rPr>
              <w:t xml:space="preserve">Факт </w:t>
            </w:r>
          </w:p>
          <w:p>
            <w:pPr>
              <w:ind w:left="-57" w:right="-57"/>
              <w:jc w:val="center"/>
              <w:rPr>
                <w:bCs/>
              </w:rPr>
            </w:pPr>
            <w:r>
              <w:rPr>
                <w:bCs/>
              </w:rPr>
              <w:t>2018 год, тыс.руб.</w:t>
            </w:r>
          </w:p>
        </w:tc>
        <w:tc>
          <w:tcPr>
            <w:tcW w:w="5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 w:right="-57"/>
              <w:jc w:val="center"/>
            </w:pPr>
            <w:r>
              <w:t>2019 год</w:t>
            </w:r>
          </w:p>
        </w:tc>
      </w:tr>
      <w:tr>
        <w:trPr>
          <w:cantSplit/>
          <w:trHeight w:val="766"/>
        </w:trPr>
        <w:tc>
          <w:tcPr>
            <w:tcW w:w="2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 w:right="-57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ind w:left="-158" w:right="-108"/>
              <w:jc w:val="center"/>
            </w:pPr>
            <w:proofErr w:type="spellStart"/>
            <w:r>
              <w:t>Первона-чальный</w:t>
            </w:r>
            <w:proofErr w:type="spellEnd"/>
            <w:r>
              <w:t xml:space="preserve"> прогноз, тыс</w:t>
            </w:r>
            <w:proofErr w:type="gramStart"/>
            <w:r>
              <w:t>.р</w:t>
            </w:r>
            <w:proofErr w:type="gramEnd"/>
            <w:r>
              <w:t>уб.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158" w:right="-108"/>
              <w:jc w:val="center"/>
            </w:pPr>
            <w:r>
              <w:t>Уточненный прогноз,</w:t>
            </w:r>
            <w:r>
              <w:br/>
              <w:t>тыс</w:t>
            </w:r>
            <w:proofErr w:type="gramStart"/>
            <w:r>
              <w:t>.р</w:t>
            </w:r>
            <w:proofErr w:type="gramEnd"/>
            <w:r>
              <w:t>уб.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108" w:right="-108"/>
              <w:jc w:val="center"/>
            </w:pPr>
            <w:r>
              <w:t xml:space="preserve">Факт, </w:t>
            </w:r>
            <w:r>
              <w:br/>
              <w:t>тыс.руб.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pStyle w:val="a5"/>
              <w:tabs>
                <w:tab w:val="left" w:pos="-108"/>
                <w:tab w:val="left" w:pos="-77"/>
              </w:tabs>
              <w:spacing w:after="0"/>
              <w:ind w:left="-108" w:right="-108"/>
              <w:jc w:val="center"/>
            </w:pPr>
            <w:r>
              <w:t>Отклонение</w:t>
            </w:r>
          </w:p>
          <w:p>
            <w:pPr>
              <w:pStyle w:val="a5"/>
              <w:tabs>
                <w:tab w:val="left" w:pos="-108"/>
                <w:tab w:val="left" w:pos="-77"/>
              </w:tabs>
              <w:spacing w:after="0"/>
              <w:ind w:left="-108" w:right="-108"/>
              <w:jc w:val="center"/>
            </w:pPr>
            <w:r>
              <w:t>тыс.руб.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pStyle w:val="a5"/>
              <w:tabs>
                <w:tab w:val="left" w:pos="-192"/>
                <w:tab w:val="left" w:pos="-77"/>
              </w:tabs>
              <w:spacing w:after="0"/>
              <w:ind w:left="-108" w:right="-108"/>
              <w:jc w:val="center"/>
            </w:pPr>
            <w:r>
              <w:t>%</w:t>
            </w:r>
          </w:p>
          <w:p>
            <w:pPr>
              <w:pStyle w:val="a5"/>
              <w:tabs>
                <w:tab w:val="left" w:pos="-192"/>
                <w:tab w:val="left" w:pos="0"/>
              </w:tabs>
              <w:spacing w:after="0"/>
              <w:ind w:left="-108" w:right="-108"/>
              <w:jc w:val="center"/>
            </w:pPr>
            <w:proofErr w:type="spellStart"/>
            <w:proofErr w:type="gramStart"/>
            <w:r>
              <w:t>испол-нения</w:t>
            </w:r>
            <w:proofErr w:type="spellEnd"/>
            <w:proofErr w:type="gramEnd"/>
          </w:p>
        </w:tc>
      </w:tr>
      <w:tr>
        <w:trPr>
          <w:cantSplit/>
          <w:trHeight w:val="89"/>
        </w:trPr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76" w:right="-14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6=5-4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right="-10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7=5/4</w:t>
            </w:r>
          </w:p>
        </w:tc>
      </w:tr>
      <w:tr>
        <w:trPr>
          <w:cantSplit/>
          <w:trHeight w:val="415"/>
        </w:trPr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 w:right="-57"/>
              <w:jc w:val="right"/>
            </w:pPr>
            <w:r>
              <w:t>Государственная пошлина,</w:t>
            </w:r>
          </w:p>
          <w:p>
            <w:pPr>
              <w:ind w:left="-57" w:right="-57"/>
              <w:rPr>
                <w:highlight w:val="yellow"/>
              </w:rPr>
            </w:pPr>
            <w:r>
              <w:t>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right"/>
            </w:pPr>
            <w:r>
              <w:t>12 902,04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right"/>
            </w:pPr>
            <w:r>
              <w:t>13 040,00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right"/>
            </w:pPr>
            <w:r>
              <w:t>13 640,00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right"/>
            </w:pPr>
            <w:r>
              <w:t>13 485,36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right"/>
            </w:pPr>
            <w:r>
              <w:t>-154,64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right"/>
            </w:pPr>
            <w:r>
              <w:t>98,9</w:t>
            </w:r>
          </w:p>
        </w:tc>
      </w:tr>
      <w:tr>
        <w:trPr>
          <w:cantSplit/>
          <w:trHeight w:val="415"/>
        </w:trPr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r>
              <w:t>Госпошлина по делам, рассматриваемым в судах общей юрисдикции, мировыми судьями…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right"/>
            </w:pPr>
            <w:r>
              <w:t>12 755,24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right"/>
            </w:pPr>
            <w:r>
              <w:t>12 910,20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right"/>
            </w:pPr>
            <w:r>
              <w:t>13 286,00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right"/>
            </w:pPr>
            <w:r>
              <w:t>13 180,96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right"/>
            </w:pPr>
            <w:r>
              <w:t>-105,04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right"/>
            </w:pPr>
            <w:r>
              <w:t>99,2</w:t>
            </w:r>
          </w:p>
        </w:tc>
      </w:tr>
      <w:tr>
        <w:trPr>
          <w:cantSplit/>
          <w:trHeight w:val="415"/>
        </w:trPr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r>
              <w:t xml:space="preserve">Госпошлина за выдачу разрешения на установку рекламной конструкции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right"/>
            </w:pPr>
            <w:r>
              <w:t>30,00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right"/>
            </w:pPr>
            <w:r>
              <w:t>50,00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right"/>
            </w:pPr>
            <w:r>
              <w:t>250,00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right"/>
            </w:pPr>
            <w:r>
              <w:t>170,00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right"/>
            </w:pPr>
            <w:r>
              <w:t>-80,00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right"/>
            </w:pPr>
            <w:r>
              <w:t>68,0</w:t>
            </w:r>
          </w:p>
        </w:tc>
      </w:tr>
      <w:tr>
        <w:trPr>
          <w:cantSplit/>
          <w:trHeight w:val="415"/>
        </w:trPr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r>
              <w:t>Госпошлина за выдачу специального разрешения на движение по автомобильным дорогам транспортных средств, осуществляющих перевозки опасных, тяжеловесных и (или) крупногабаритных грузов…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right"/>
            </w:pPr>
            <w:r>
              <w:t>116,80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right"/>
            </w:pPr>
            <w:r>
              <w:t>79,80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right"/>
            </w:pPr>
            <w:r>
              <w:t>104,00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right"/>
            </w:pPr>
            <w:r>
              <w:t>134,40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right"/>
            </w:pPr>
            <w:r>
              <w:t>30,40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right"/>
            </w:pPr>
            <w:r>
              <w:t>129,2</w:t>
            </w:r>
          </w:p>
        </w:tc>
      </w:tr>
    </w:tbl>
    <w:p>
      <w:pPr>
        <w:pStyle w:val="a5"/>
        <w:spacing w:before="120" w:after="0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Удельный вес статьи доходов «Государственная пошлина» в общей структуре фактически поступивших доходов составляет 0,3%, налоговых и неналоговых доходов - 1,2%.</w:t>
      </w:r>
    </w:p>
    <w:p>
      <w:pPr>
        <w:pStyle w:val="a5"/>
        <w:spacing w:after="0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Норматив зачисления в бюджет ЗАТО Северск 100%.</w:t>
      </w:r>
    </w:p>
    <w:p>
      <w:pPr>
        <w:pStyle w:val="a5"/>
        <w:spacing w:after="0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Статью «Государственная пошлина» администрируют 3 главных администратора доходов: </w:t>
      </w:r>
    </w:p>
    <w:p>
      <w:pPr>
        <w:pStyle w:val="a5"/>
        <w:spacing w:after="0"/>
        <w:ind w:firstLine="720"/>
        <w:jc w:val="both"/>
        <w:rPr>
          <w:sz w:val="24"/>
          <w:szCs w:val="24"/>
          <w:highlight w:val="yellow"/>
        </w:rPr>
      </w:pPr>
      <w:r>
        <w:rPr>
          <w:sz w:val="24"/>
          <w:szCs w:val="24"/>
        </w:rPr>
        <w:t>- ИФНС России по ЗАТО Северск Томской области - госпошлина по делам рассматриваемым в судах общей юрисдикции, мировыми судьями (за исключением Верховного суда РФ);</w:t>
      </w:r>
    </w:p>
    <w:p>
      <w:pPr>
        <w:pStyle w:val="a5"/>
        <w:spacing w:after="0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- УЖКХ ТиС - госпошлина за выдачу органами местного самоуправления специального разрешения на перевозку опасных, тяжеловесных и (или) крупногабаритных грузов;</w:t>
      </w:r>
    </w:p>
    <w:p>
      <w:pPr>
        <w:pStyle w:val="a5"/>
        <w:spacing w:after="0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 УИО Администрации ЗАТО Северск - госпошлина за выдачу разрешения на установку рекламной конструкции. </w:t>
      </w:r>
    </w:p>
    <w:p>
      <w:pPr>
        <w:pStyle w:val="a5"/>
        <w:spacing w:after="0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По сравнению с 2018 годом поступление по статье увеличилось на 583,32 тыс.руб. или на 4,5% в основном за счет увеличения поступлений по статьям «Госпошлина по делам, рассматриваемым в судах общей юрисдикции, мировыми судьями (за исключением Верховного суда РФ)» и «Госпошлина за выдачу разрешения на установку рекламной конструкции».</w:t>
      </w:r>
    </w:p>
    <w:p>
      <w:pPr>
        <w:ind w:firstLine="709"/>
        <w:jc w:val="both"/>
        <w:rPr>
          <w:highlight w:val="yellow"/>
        </w:rPr>
      </w:pPr>
    </w:p>
    <w:p>
      <w:pPr>
        <w:pStyle w:val="a5"/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3.2. НЕНАЛОГОВЫЕ ДОХОДЫ БЮДЖЕТА ЗАТО СЕВЕРСК</w:t>
      </w:r>
    </w:p>
    <w:p>
      <w:pPr>
        <w:pStyle w:val="a5"/>
        <w:spacing w:after="0"/>
        <w:ind w:firstLine="709"/>
        <w:jc w:val="center"/>
        <w:rPr>
          <w:b/>
          <w:sz w:val="16"/>
          <w:szCs w:val="16"/>
        </w:rPr>
      </w:pPr>
    </w:p>
    <w:p>
      <w:pPr>
        <w:spacing w:line="228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Неналоговые доходы при уточненном прогнозе 150 838,48 тыс.руб. исполнены в сумме 160 555,90 тыс.руб. или 106,4%, перевыполнение на 9 717,42 тыс.руб.</w:t>
      </w:r>
    </w:p>
    <w:p>
      <w:pPr>
        <w:spacing w:line="228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Удельный вес неналоговых доходов в общей структуре доходной части бюджета ЗАТО Северск составляет 3,5%, налоговых и неналоговых доходах – 14,2%.</w:t>
      </w:r>
    </w:p>
    <w:p>
      <w:pPr>
        <w:spacing w:before="120" w:after="60"/>
        <w:ind w:right="45" w:firstLine="720"/>
        <w:jc w:val="both"/>
        <w:rPr>
          <w:sz w:val="24"/>
          <w:szCs w:val="24"/>
        </w:rPr>
      </w:pPr>
      <w:r>
        <w:rPr>
          <w:sz w:val="24"/>
          <w:szCs w:val="24"/>
        </w:rPr>
        <w:t>Таблица 21. Сравнительный анализ поступления неналоговых доходов бюджета ЗАТО Северск за 2018 - 2019 гг.</w:t>
      </w:r>
    </w:p>
    <w:tbl>
      <w:tblPr>
        <w:tblW w:w="9652" w:type="dxa"/>
        <w:tblInd w:w="96" w:type="dxa"/>
        <w:tblLayout w:type="fixed"/>
        <w:tblLook w:val="0000"/>
      </w:tblPr>
      <w:tblGrid>
        <w:gridCol w:w="2280"/>
        <w:gridCol w:w="1276"/>
        <w:gridCol w:w="1134"/>
        <w:gridCol w:w="991"/>
        <w:gridCol w:w="993"/>
        <w:gridCol w:w="993"/>
        <w:gridCol w:w="1134"/>
        <w:gridCol w:w="851"/>
      </w:tblGrid>
      <w:tr>
        <w:trPr>
          <w:cantSplit/>
          <w:trHeight w:val="248"/>
        </w:trPr>
        <w:tc>
          <w:tcPr>
            <w:tcW w:w="2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</w:pPr>
            <w:r>
              <w:t>Наименование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>
            <w:pPr>
              <w:ind w:left="-108" w:right="-108"/>
              <w:jc w:val="center"/>
              <w:rPr>
                <w:bCs/>
              </w:rPr>
            </w:pPr>
            <w:r>
              <w:rPr>
                <w:bCs/>
              </w:rPr>
              <w:t xml:space="preserve">Факт </w:t>
            </w:r>
          </w:p>
          <w:p>
            <w:pPr>
              <w:ind w:left="-108" w:right="-108"/>
              <w:jc w:val="center"/>
              <w:rPr>
                <w:bCs/>
              </w:rPr>
            </w:pPr>
            <w:r>
              <w:rPr>
                <w:bCs/>
              </w:rPr>
              <w:t>2018 год, тыс.руб.</w:t>
            </w:r>
          </w:p>
        </w:tc>
        <w:tc>
          <w:tcPr>
            <w:tcW w:w="41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108" w:right="-108"/>
              <w:jc w:val="center"/>
            </w:pPr>
            <w:r>
              <w:t xml:space="preserve">2019 год, </w:t>
            </w:r>
            <w:r>
              <w:rPr>
                <w:bCs/>
              </w:rPr>
              <w:t>тыс.руб.</w:t>
            </w:r>
          </w:p>
        </w:tc>
        <w:tc>
          <w:tcPr>
            <w:tcW w:w="1985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108" w:right="-108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Отклонение </w:t>
            </w:r>
          </w:p>
          <w:p>
            <w:pPr>
              <w:ind w:left="-108" w:right="-108"/>
              <w:jc w:val="center"/>
              <w:rPr>
                <w:color w:val="000000"/>
              </w:rPr>
            </w:pPr>
            <w:r>
              <w:rPr>
                <w:color w:val="000000"/>
                <w:sz w:val="18"/>
                <w:szCs w:val="18"/>
              </w:rPr>
              <w:t>(</w:t>
            </w:r>
            <w:r>
              <w:rPr>
                <w:color w:val="000000"/>
                <w:sz w:val="16"/>
                <w:szCs w:val="16"/>
              </w:rPr>
              <w:t>факт 2019г. – факт 2018г.)</w:t>
            </w:r>
          </w:p>
        </w:tc>
      </w:tr>
      <w:tr>
        <w:trPr>
          <w:cantSplit/>
          <w:trHeight w:val="267"/>
        </w:trPr>
        <w:tc>
          <w:tcPr>
            <w:tcW w:w="2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vAlign w:val="center"/>
          </w:tcPr>
          <w:p>
            <w:pPr>
              <w:ind w:left="-108" w:right="-108"/>
              <w:jc w:val="center"/>
              <w:rPr>
                <w:bCs/>
              </w:rPr>
            </w:pP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 w:right="-57"/>
              <w:jc w:val="center"/>
            </w:pPr>
            <w:r>
              <w:t>Прогноз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 w:right="-57"/>
              <w:jc w:val="center"/>
            </w:pPr>
            <w:r>
              <w:t xml:space="preserve">Факт 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108" w:right="-108"/>
              <w:jc w:val="center"/>
            </w:pPr>
            <w:proofErr w:type="spellStart"/>
            <w:r>
              <w:t>Откл</w:t>
            </w:r>
            <w:proofErr w:type="gramStart"/>
            <w:r>
              <w:t>о</w:t>
            </w:r>
            <w:proofErr w:type="spellEnd"/>
            <w:r>
              <w:t>-</w:t>
            </w:r>
            <w:proofErr w:type="gramEnd"/>
            <w:r>
              <w:t xml:space="preserve"> </w:t>
            </w:r>
            <w:proofErr w:type="spellStart"/>
            <w:r>
              <w:t>нение</w:t>
            </w:r>
            <w:proofErr w:type="spellEnd"/>
            <w:r>
              <w:t xml:space="preserve"> </w:t>
            </w:r>
          </w:p>
        </w:tc>
        <w:tc>
          <w:tcPr>
            <w:tcW w:w="1985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108" w:right="-108"/>
              <w:jc w:val="center"/>
              <w:rPr>
                <w:color w:val="000000"/>
                <w:sz w:val="18"/>
                <w:szCs w:val="18"/>
              </w:rPr>
            </w:pPr>
          </w:p>
        </w:tc>
      </w:tr>
      <w:tr>
        <w:trPr>
          <w:cantSplit/>
          <w:trHeight w:val="568"/>
        </w:trPr>
        <w:tc>
          <w:tcPr>
            <w:tcW w:w="2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ind w:left="-108" w:right="-108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113" w:right="-113"/>
              <w:jc w:val="center"/>
            </w:pPr>
            <w:proofErr w:type="spellStart"/>
            <w:proofErr w:type="gramStart"/>
            <w:r>
              <w:t>Перво-начальный</w:t>
            </w:r>
            <w:proofErr w:type="spellEnd"/>
            <w:proofErr w:type="gramEnd"/>
            <w:r>
              <w:t xml:space="preserve"> 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113" w:right="-113"/>
              <w:jc w:val="center"/>
            </w:pPr>
            <w:proofErr w:type="spellStart"/>
            <w:r>
              <w:t>Уто</w:t>
            </w:r>
            <w:proofErr w:type="gramStart"/>
            <w:r>
              <w:t>ч</w:t>
            </w:r>
            <w:proofErr w:type="spellEnd"/>
            <w:r>
              <w:t>-</w:t>
            </w:r>
            <w:proofErr w:type="gramEnd"/>
            <w:r>
              <w:t xml:space="preserve"> </w:t>
            </w:r>
            <w:proofErr w:type="spellStart"/>
            <w:r>
              <w:t>ненный</w:t>
            </w:r>
            <w:proofErr w:type="spellEnd"/>
            <w:r>
              <w:t xml:space="preserve">  </w:t>
            </w: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 w:right="-57"/>
              <w:jc w:val="center"/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108" w:right="-108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абсолютное,  тыс</w:t>
            </w:r>
            <w:proofErr w:type="gramStart"/>
            <w:r>
              <w:rPr>
                <w:sz w:val="18"/>
                <w:szCs w:val="18"/>
              </w:rPr>
              <w:t>.р</w:t>
            </w:r>
            <w:proofErr w:type="gramEnd"/>
            <w:r>
              <w:rPr>
                <w:sz w:val="18"/>
                <w:szCs w:val="18"/>
              </w:rPr>
              <w:t>уб.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относи-тельное</w:t>
            </w:r>
            <w:proofErr w:type="gramEnd"/>
            <w:r>
              <w:rPr>
                <w:color w:val="000000"/>
                <w:sz w:val="18"/>
                <w:szCs w:val="18"/>
              </w:rPr>
              <w:t>,  %</w:t>
            </w:r>
          </w:p>
        </w:tc>
      </w:tr>
      <w:tr>
        <w:trPr>
          <w:cantSplit/>
          <w:trHeight w:val="239"/>
        </w:trPr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ind w:left="-113" w:right="-57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113" w:right="-57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113" w:right="-57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113" w:right="-57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113" w:right="-57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6=5-4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113" w:right="-57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7=5-2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ind w:left="-113" w:right="-57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8=5/2</w:t>
            </w:r>
          </w:p>
        </w:tc>
      </w:tr>
      <w:tr>
        <w:trPr>
          <w:cantSplit/>
          <w:trHeight w:val="538"/>
        </w:trPr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right="-108"/>
              <w:rPr>
                <w:b/>
                <w:bCs/>
              </w:rPr>
            </w:pPr>
            <w:r>
              <w:rPr>
                <w:b/>
                <w:bCs/>
              </w:rPr>
              <w:t>НЕНАЛОГОВЫЕ ДОХОДЫ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ind w:left="-113" w:right="-57"/>
              <w:jc w:val="right"/>
              <w:rPr>
                <w:b/>
              </w:rPr>
            </w:pPr>
            <w:r>
              <w:rPr>
                <w:b/>
              </w:rPr>
              <w:t>198 131,20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113" w:right="-57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133 840,73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113" w:right="-57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150 838,48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113" w:right="-57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160 555,90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113" w:right="-57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9 717,42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113" w:right="-57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-37 575,30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ind w:left="-113" w:right="-57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81,0</w:t>
            </w:r>
          </w:p>
        </w:tc>
      </w:tr>
      <w:tr>
        <w:trPr>
          <w:cantSplit/>
          <w:trHeight w:val="854"/>
        </w:trPr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right="-108"/>
            </w:pPr>
            <w:r>
              <w:t>Доходы от использования муниципального имущества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ind w:left="-113" w:right="-57"/>
              <w:jc w:val="right"/>
            </w:pPr>
            <w:r>
              <w:t>88 286,46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113" w:right="-57"/>
              <w:jc w:val="right"/>
            </w:pPr>
            <w:r>
              <w:t>84 958,96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113" w:right="-57"/>
              <w:jc w:val="right"/>
            </w:pPr>
            <w:r>
              <w:t>87 249,54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113" w:right="-57"/>
              <w:jc w:val="right"/>
            </w:pPr>
            <w:r>
              <w:t>90 197,79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113" w:right="-57"/>
              <w:jc w:val="right"/>
            </w:pPr>
            <w:r>
              <w:t>2 948,25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113" w:right="-57"/>
              <w:jc w:val="right"/>
            </w:pPr>
            <w:r>
              <w:t>1 911,33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ind w:left="-113" w:right="-57"/>
              <w:jc w:val="right"/>
              <w:rPr>
                <w:bCs/>
              </w:rPr>
            </w:pPr>
            <w:r>
              <w:rPr>
                <w:bCs/>
              </w:rPr>
              <w:t>102,2</w:t>
            </w:r>
          </w:p>
        </w:tc>
      </w:tr>
      <w:tr>
        <w:trPr>
          <w:cantSplit/>
          <w:trHeight w:val="782"/>
        </w:trPr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right="-108"/>
            </w:pPr>
            <w:r>
              <w:t xml:space="preserve">Платежи при пользовании природными ресурсами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ind w:left="-113" w:right="-57"/>
              <w:jc w:val="right"/>
            </w:pPr>
            <w:r>
              <w:t>12 956,71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113" w:right="-57"/>
              <w:jc w:val="right"/>
            </w:pPr>
            <w:r>
              <w:t>14 198,51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113" w:right="-57"/>
              <w:jc w:val="right"/>
            </w:pPr>
            <w:r>
              <w:t>19 941,61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113" w:right="-57"/>
              <w:jc w:val="right"/>
            </w:pPr>
            <w:r>
              <w:t>19 568,56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113" w:right="-57"/>
              <w:jc w:val="right"/>
            </w:pPr>
            <w:r>
              <w:t>-373,05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113" w:right="-57"/>
              <w:jc w:val="right"/>
            </w:pPr>
            <w:r>
              <w:t>6 611,85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ind w:left="-113" w:right="-57"/>
              <w:jc w:val="right"/>
              <w:rPr>
                <w:bCs/>
              </w:rPr>
            </w:pPr>
            <w:r>
              <w:rPr>
                <w:bCs/>
              </w:rPr>
              <w:t>151,0</w:t>
            </w:r>
          </w:p>
        </w:tc>
      </w:tr>
      <w:tr>
        <w:trPr>
          <w:cantSplit/>
          <w:trHeight w:val="694"/>
        </w:trPr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right="-57"/>
              <w:jc w:val="both"/>
            </w:pPr>
            <w:r>
              <w:t>Доходы от оказания платных услуг и компенсации затрат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ind w:left="-113" w:right="-57"/>
              <w:jc w:val="right"/>
            </w:pPr>
            <w:r>
              <w:t>9 029,46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113" w:right="-57"/>
              <w:jc w:val="right"/>
            </w:pPr>
            <w:r>
              <w:t>7 104,00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113" w:right="-57"/>
              <w:jc w:val="right"/>
            </w:pPr>
            <w:r>
              <w:t>7 590,33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113" w:right="-57"/>
              <w:jc w:val="right"/>
            </w:pPr>
            <w:r>
              <w:t>7 956,02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113" w:right="-57"/>
              <w:jc w:val="right"/>
            </w:pPr>
            <w:r>
              <w:t>365,69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113" w:right="-57"/>
              <w:jc w:val="right"/>
            </w:pPr>
            <w:r>
              <w:t>-1073,44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ind w:left="-113" w:right="-57"/>
              <w:jc w:val="right"/>
              <w:rPr>
                <w:bCs/>
              </w:rPr>
            </w:pPr>
            <w:r>
              <w:rPr>
                <w:bCs/>
              </w:rPr>
              <w:t>88,1</w:t>
            </w:r>
          </w:p>
        </w:tc>
      </w:tr>
      <w:tr>
        <w:trPr>
          <w:cantSplit/>
          <w:trHeight w:val="704"/>
        </w:trPr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right="-57"/>
              <w:jc w:val="both"/>
            </w:pPr>
            <w:r>
              <w:t>Доходы от продажи муниципального имущества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ind w:left="-113" w:right="-57"/>
              <w:jc w:val="right"/>
            </w:pPr>
            <w:r>
              <w:t>65 870,71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113" w:right="-57"/>
              <w:jc w:val="right"/>
            </w:pPr>
            <w:r>
              <w:t>16 431,64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113" w:right="-57"/>
              <w:jc w:val="right"/>
            </w:pPr>
            <w:r>
              <w:t>20 343,08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113" w:right="-57"/>
              <w:jc w:val="right"/>
            </w:pPr>
            <w:r>
              <w:t>20 510,46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113" w:right="-57"/>
              <w:jc w:val="right"/>
            </w:pPr>
            <w:r>
              <w:t>167,38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113" w:right="-57"/>
              <w:jc w:val="right"/>
            </w:pPr>
            <w:r>
              <w:t>-45 360,25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ind w:left="-113" w:right="-57"/>
              <w:jc w:val="right"/>
              <w:rPr>
                <w:bCs/>
              </w:rPr>
            </w:pPr>
            <w:r>
              <w:rPr>
                <w:bCs/>
              </w:rPr>
              <w:t>31,1</w:t>
            </w:r>
          </w:p>
        </w:tc>
      </w:tr>
      <w:tr>
        <w:trPr>
          <w:cantSplit/>
          <w:trHeight w:val="402"/>
        </w:trPr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right="-57"/>
              <w:jc w:val="both"/>
            </w:pPr>
            <w:r>
              <w:t>Штрафы, санкции, возмещение ущерба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ind w:left="-113" w:right="-57"/>
              <w:jc w:val="right"/>
            </w:pPr>
            <w:r>
              <w:t>15 610,18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113" w:right="-57"/>
              <w:jc w:val="right"/>
            </w:pPr>
            <w:r>
              <w:t>10 971,22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113" w:right="-57"/>
              <w:jc w:val="right"/>
            </w:pPr>
            <w:r>
              <w:t>12 159,42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113" w:right="-57"/>
              <w:jc w:val="right"/>
            </w:pPr>
            <w:r>
              <w:t>12 368,61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113" w:right="-57"/>
              <w:jc w:val="right"/>
            </w:pPr>
            <w:r>
              <w:t>209,19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113" w:right="-57"/>
              <w:jc w:val="right"/>
            </w:pPr>
            <w:r>
              <w:t>-3 241,57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ind w:left="-113" w:right="-57"/>
              <w:jc w:val="right"/>
              <w:rPr>
                <w:bCs/>
              </w:rPr>
            </w:pPr>
            <w:r>
              <w:rPr>
                <w:bCs/>
              </w:rPr>
              <w:t>79,2</w:t>
            </w:r>
          </w:p>
        </w:tc>
      </w:tr>
      <w:tr>
        <w:trPr>
          <w:cantSplit/>
          <w:trHeight w:val="366"/>
        </w:trPr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right="-57"/>
              <w:jc w:val="both"/>
            </w:pPr>
            <w:r>
              <w:t>Прочие неналоговые доходы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ind w:left="-113" w:right="-57"/>
              <w:jc w:val="right"/>
            </w:pPr>
            <w:r>
              <w:t>6 377,68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113" w:right="-57"/>
              <w:jc w:val="right"/>
            </w:pPr>
            <w:r>
              <w:t>176,40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r>
              <w:t>3 554,50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r>
              <w:t>9 954,46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r>
              <w:t>6 399,96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113" w:right="-57"/>
              <w:jc w:val="right"/>
            </w:pPr>
            <w:r>
              <w:t>3 576,78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ind w:left="-113" w:right="-57"/>
              <w:jc w:val="right"/>
              <w:rPr>
                <w:bCs/>
              </w:rPr>
            </w:pPr>
            <w:r>
              <w:rPr>
                <w:bCs/>
              </w:rPr>
              <w:t>156,1</w:t>
            </w:r>
          </w:p>
        </w:tc>
      </w:tr>
    </w:tbl>
    <w:p>
      <w:pPr>
        <w:jc w:val="both"/>
        <w:rPr>
          <w:noProof/>
          <w:sz w:val="24"/>
          <w:szCs w:val="24"/>
        </w:rPr>
      </w:pPr>
    </w:p>
    <w:p>
      <w:pPr>
        <w:spacing w:line="228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Поступление неналоговых доходов по сравнению с 2018 годом уменьшилось на 37 575,30 тыс.руб. или на 19%. Основное сокращение за счет доходов, полученных от продажи муниципального имущества.</w:t>
      </w:r>
    </w:p>
    <w:p>
      <w:pPr>
        <w:spacing w:line="228" w:lineRule="auto"/>
        <w:ind w:firstLine="709"/>
        <w:jc w:val="both"/>
        <w:rPr>
          <w:sz w:val="24"/>
          <w:szCs w:val="24"/>
        </w:rPr>
      </w:pPr>
    </w:p>
    <w:p>
      <w:pPr>
        <w:jc w:val="both"/>
        <w:rPr>
          <w:noProof/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5873750" cy="2578100"/>
            <wp:effectExtent l="0" t="19050" r="0" b="0"/>
            <wp:docPr id="10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>Рисунок 8. Динамика поступлений неналоговых доходов в 2018 и 2019 годах</w:t>
      </w:r>
    </w:p>
    <w:p>
      <w:pPr>
        <w:spacing w:before="12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 сравнению с 2018 годом по статьям «Арендная плата за землю» и «Аренда движимого имущества» отмечается положительная динамика сокращения задолженности. </w:t>
      </w:r>
    </w:p>
    <w:p>
      <w:pPr>
        <w:spacing w:before="120" w:after="60"/>
        <w:ind w:right="45" w:firstLine="709"/>
        <w:jc w:val="both"/>
        <w:rPr>
          <w:sz w:val="24"/>
          <w:szCs w:val="24"/>
        </w:rPr>
      </w:pPr>
      <w:r>
        <w:rPr>
          <w:sz w:val="24"/>
          <w:szCs w:val="24"/>
        </w:rPr>
        <w:t>Таблица 22. Задолженность по неналоговым платежам в бюджет ЗАТО Северск за</w:t>
      </w:r>
      <w:r>
        <w:rPr>
          <w:sz w:val="24"/>
          <w:szCs w:val="24"/>
          <w:lang w:val="en-US"/>
        </w:rPr>
        <w:t> </w:t>
      </w:r>
      <w:r>
        <w:rPr>
          <w:sz w:val="24"/>
          <w:szCs w:val="24"/>
        </w:rPr>
        <w:t>2018-2019 гг., без учета отсроченных (рассроченных) и приостановленных к взысканию</w:t>
      </w:r>
    </w:p>
    <w:tbl>
      <w:tblPr>
        <w:tblW w:w="9368" w:type="dxa"/>
        <w:tblInd w:w="96" w:type="dxa"/>
        <w:tblLayout w:type="fixed"/>
        <w:tblLook w:val="0000"/>
      </w:tblPr>
      <w:tblGrid>
        <w:gridCol w:w="3981"/>
        <w:gridCol w:w="1560"/>
        <w:gridCol w:w="1417"/>
        <w:gridCol w:w="1276"/>
        <w:gridCol w:w="1134"/>
      </w:tblGrid>
      <w:tr>
        <w:trPr>
          <w:cantSplit/>
          <w:trHeight w:val="313"/>
        </w:trPr>
        <w:tc>
          <w:tcPr>
            <w:tcW w:w="39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</w:pPr>
            <w:r>
              <w:t>Наименование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ind w:left="-57" w:right="-57"/>
              <w:jc w:val="center"/>
            </w:pPr>
            <w:r>
              <w:rPr>
                <w:bCs/>
              </w:rPr>
              <w:t>Задолженность, тыс.руб.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</w:rPr>
              <w:t xml:space="preserve">Отклонение </w:t>
            </w:r>
          </w:p>
        </w:tc>
      </w:tr>
      <w:tr>
        <w:trPr>
          <w:cantSplit/>
          <w:trHeight w:val="384"/>
        </w:trPr>
        <w:tc>
          <w:tcPr>
            <w:tcW w:w="39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r>
              <w:t xml:space="preserve"> на 01.01.2019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 w:right="-57"/>
              <w:jc w:val="center"/>
            </w:pPr>
            <w:r>
              <w:t xml:space="preserve"> на 01.01.2020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 w:right="-57"/>
              <w:jc w:val="center"/>
            </w:pPr>
            <w:r>
              <w:t>абсолютное, тыс</w:t>
            </w:r>
            <w:proofErr w:type="gramStart"/>
            <w:r>
              <w:t>.р</w:t>
            </w:r>
            <w:proofErr w:type="gramEnd"/>
            <w:r>
              <w:t>уб.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ind w:left="-57" w:right="-57"/>
              <w:jc w:val="center"/>
            </w:pPr>
            <w:proofErr w:type="gramStart"/>
            <w:r>
              <w:t>относи-тельное</w:t>
            </w:r>
            <w:proofErr w:type="gramEnd"/>
            <w:r>
              <w:t>, %</w:t>
            </w:r>
          </w:p>
        </w:tc>
      </w:tr>
      <w:tr>
        <w:trPr>
          <w:cantSplit/>
          <w:trHeight w:val="372"/>
        </w:trPr>
        <w:tc>
          <w:tcPr>
            <w:tcW w:w="3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pStyle w:val="a5"/>
              <w:tabs>
                <w:tab w:val="left" w:pos="3966"/>
              </w:tabs>
              <w:spacing w:after="0"/>
              <w:ind w:right="-120"/>
            </w:pPr>
            <w:r>
              <w:t>1. Арендная плата за землю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right"/>
            </w:pPr>
            <w:r>
              <w:t>33 413,0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 w:right="-57"/>
              <w:jc w:val="right"/>
              <w:rPr>
                <w:color w:val="000000"/>
              </w:rPr>
            </w:pPr>
            <w:r>
              <w:rPr>
                <w:color w:val="000000"/>
              </w:rPr>
              <w:t>22 921,8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 w:right="-57"/>
              <w:jc w:val="right"/>
              <w:rPr>
                <w:color w:val="000000"/>
              </w:rPr>
            </w:pPr>
            <w:r>
              <w:rPr>
                <w:color w:val="000000"/>
              </w:rPr>
              <w:t>-10 491,2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ind w:left="-57" w:right="-57"/>
              <w:jc w:val="center"/>
              <w:rPr>
                <w:color w:val="000000"/>
              </w:rPr>
            </w:pPr>
            <w:r>
              <w:rPr>
                <w:color w:val="000000"/>
              </w:rPr>
              <w:t>68,6</w:t>
            </w:r>
          </w:p>
        </w:tc>
      </w:tr>
      <w:tr>
        <w:trPr>
          <w:cantSplit/>
          <w:trHeight w:val="421"/>
        </w:trPr>
        <w:tc>
          <w:tcPr>
            <w:tcW w:w="3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pStyle w:val="a5"/>
              <w:tabs>
                <w:tab w:val="left" w:pos="3966"/>
              </w:tabs>
              <w:spacing w:after="0"/>
              <w:ind w:right="-120"/>
            </w:pPr>
            <w:r>
              <w:t>2. Аренда движимого имущества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right"/>
            </w:pPr>
            <w:r>
              <w:t>242,4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 w:right="-57"/>
              <w:jc w:val="right"/>
              <w:rPr>
                <w:color w:val="000000"/>
              </w:rPr>
            </w:pPr>
            <w:r>
              <w:rPr>
                <w:color w:val="000000"/>
              </w:rPr>
              <w:t>410,0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 w:right="-57"/>
              <w:jc w:val="right"/>
              <w:rPr>
                <w:color w:val="000000"/>
              </w:rPr>
            </w:pPr>
            <w:r>
              <w:rPr>
                <w:color w:val="000000"/>
              </w:rPr>
              <w:t>167,6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ind w:left="-57" w:right="-57"/>
              <w:jc w:val="center"/>
              <w:rPr>
                <w:color w:val="000000"/>
              </w:rPr>
            </w:pPr>
            <w:r>
              <w:rPr>
                <w:color w:val="000000"/>
              </w:rPr>
              <w:t>169,1</w:t>
            </w:r>
          </w:p>
        </w:tc>
      </w:tr>
      <w:tr>
        <w:trPr>
          <w:cantSplit/>
          <w:trHeight w:val="396"/>
        </w:trPr>
        <w:tc>
          <w:tcPr>
            <w:tcW w:w="3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pStyle w:val="a5"/>
              <w:tabs>
                <w:tab w:val="left" w:pos="3966"/>
              </w:tabs>
              <w:spacing w:after="0"/>
              <w:ind w:right="-119"/>
            </w:pPr>
            <w:r>
              <w:t>3. Плата за наем жилых помещений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right"/>
            </w:pPr>
            <w:r>
              <w:t>6 475,2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 w:right="-57"/>
              <w:jc w:val="right"/>
              <w:rPr>
                <w:color w:val="000000"/>
              </w:rPr>
            </w:pPr>
            <w:r>
              <w:rPr>
                <w:color w:val="000000"/>
              </w:rPr>
              <w:t>7 133,0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 w:right="-57"/>
              <w:jc w:val="right"/>
              <w:rPr>
                <w:color w:val="000000"/>
              </w:rPr>
            </w:pPr>
            <w:r>
              <w:rPr>
                <w:color w:val="000000"/>
              </w:rPr>
              <w:t>657,8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 w:right="-57"/>
              <w:jc w:val="center"/>
              <w:rPr>
                <w:color w:val="000000"/>
              </w:rPr>
            </w:pPr>
            <w:r>
              <w:rPr>
                <w:color w:val="000000"/>
              </w:rPr>
              <w:t>110,2</w:t>
            </w:r>
          </w:p>
        </w:tc>
      </w:tr>
      <w:tr>
        <w:trPr>
          <w:cantSplit/>
          <w:trHeight w:val="418"/>
        </w:trPr>
        <w:tc>
          <w:tcPr>
            <w:tcW w:w="3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pStyle w:val="a5"/>
              <w:tabs>
                <w:tab w:val="left" w:pos="3966"/>
              </w:tabs>
              <w:spacing w:after="0"/>
              <w:ind w:right="-119"/>
            </w:pPr>
            <w:r>
              <w:t>4. Аренда рекламных конструкций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right"/>
            </w:pPr>
            <w:r>
              <w:t>1 903,0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 w:right="-57"/>
              <w:jc w:val="right"/>
              <w:rPr>
                <w:color w:val="000000"/>
              </w:rPr>
            </w:pPr>
            <w:r>
              <w:rPr>
                <w:color w:val="000000"/>
              </w:rPr>
              <w:t>1 963,7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-57" w:right="-57"/>
              <w:jc w:val="right"/>
              <w:rPr>
                <w:color w:val="000000"/>
              </w:rPr>
            </w:pPr>
            <w:r>
              <w:rPr>
                <w:color w:val="000000"/>
              </w:rPr>
              <w:t>60,7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ind w:left="-57" w:right="-57"/>
              <w:jc w:val="center"/>
              <w:rPr>
                <w:color w:val="000000"/>
              </w:rPr>
            </w:pPr>
            <w:r>
              <w:rPr>
                <w:color w:val="000000"/>
              </w:rPr>
              <w:t>103,2</w:t>
            </w:r>
          </w:p>
        </w:tc>
      </w:tr>
    </w:tbl>
    <w:p>
      <w:pPr>
        <w:jc w:val="center"/>
        <w:rPr>
          <w:b/>
          <w:sz w:val="24"/>
          <w:szCs w:val="24"/>
          <w:highlight w:val="yellow"/>
        </w:rPr>
      </w:pP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3.2.1. Доходы от использования имущества, находящегося</w:t>
      </w:r>
    </w:p>
    <w:p>
      <w:pPr>
        <w:spacing w:after="1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в государственной и муниципальной собственности</w:t>
      </w:r>
    </w:p>
    <w:p>
      <w:pPr>
        <w:pStyle w:val="a5"/>
        <w:spacing w:after="0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Прогноз поступлений по статье «Доходы от использования имущества, находящегося в муниципальной собственности» составлял 87 249,54 тыс.руб., фактическое исполнение – 90 197,79 тыс.руб., перевыполнение на 2 948,25 тыс.руб. или на 3,4%.</w:t>
      </w:r>
    </w:p>
    <w:p>
      <w:pPr>
        <w:pStyle w:val="a5"/>
        <w:spacing w:before="120" w:after="6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Таблица 23. Анализ поступления доходов от использования муниципального имущества за 2018 - 2019 гг.</w:t>
      </w:r>
    </w:p>
    <w:tbl>
      <w:tblPr>
        <w:tblW w:w="93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71"/>
        <w:gridCol w:w="1134"/>
        <w:gridCol w:w="992"/>
        <w:gridCol w:w="1134"/>
        <w:gridCol w:w="1134"/>
        <w:gridCol w:w="1138"/>
        <w:gridCol w:w="839"/>
      </w:tblGrid>
      <w:tr>
        <w:trPr>
          <w:trHeight w:val="274"/>
          <w:jc w:val="center"/>
        </w:trPr>
        <w:tc>
          <w:tcPr>
            <w:tcW w:w="2971" w:type="dxa"/>
            <w:vMerge w:val="restart"/>
            <w:vAlign w:val="center"/>
          </w:tcPr>
          <w:p>
            <w:pPr>
              <w:pStyle w:val="a5"/>
              <w:ind w:right="-2"/>
              <w:jc w:val="center"/>
            </w:pPr>
            <w:r>
              <w:t xml:space="preserve">Наименование </w:t>
            </w:r>
          </w:p>
        </w:tc>
        <w:tc>
          <w:tcPr>
            <w:tcW w:w="1134" w:type="dxa"/>
            <w:vMerge w:val="restart"/>
            <w:vAlign w:val="center"/>
          </w:tcPr>
          <w:p>
            <w:pPr>
              <w:ind w:right="-57"/>
              <w:jc w:val="center"/>
              <w:rPr>
                <w:bCs/>
              </w:rPr>
            </w:pPr>
            <w:r>
              <w:rPr>
                <w:bCs/>
              </w:rPr>
              <w:t xml:space="preserve">Факт </w:t>
            </w:r>
          </w:p>
          <w:p>
            <w:pPr>
              <w:ind w:right="-57"/>
              <w:jc w:val="center"/>
              <w:rPr>
                <w:bCs/>
              </w:rPr>
            </w:pPr>
            <w:r>
              <w:rPr>
                <w:bCs/>
              </w:rPr>
              <w:t>2018 год, тыс.руб.</w:t>
            </w:r>
          </w:p>
        </w:tc>
        <w:tc>
          <w:tcPr>
            <w:tcW w:w="5237" w:type="dxa"/>
            <w:gridSpan w:val="5"/>
            <w:vAlign w:val="center"/>
          </w:tcPr>
          <w:p>
            <w:pPr>
              <w:ind w:left="-57" w:right="-57"/>
              <w:jc w:val="center"/>
            </w:pPr>
            <w:r>
              <w:t>2019 год</w:t>
            </w:r>
          </w:p>
        </w:tc>
      </w:tr>
      <w:tr>
        <w:trPr>
          <w:trHeight w:val="765"/>
          <w:jc w:val="center"/>
        </w:trPr>
        <w:tc>
          <w:tcPr>
            <w:tcW w:w="2971" w:type="dxa"/>
            <w:vMerge/>
            <w:vAlign w:val="center"/>
          </w:tcPr>
          <w:p>
            <w:pPr>
              <w:pStyle w:val="a5"/>
              <w:spacing w:after="0"/>
              <w:ind w:right="-2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vAlign w:val="center"/>
          </w:tcPr>
          <w:p>
            <w:pPr>
              <w:ind w:left="-108" w:right="-108"/>
              <w:jc w:val="center"/>
            </w:pPr>
          </w:p>
        </w:tc>
        <w:tc>
          <w:tcPr>
            <w:tcW w:w="992" w:type="dxa"/>
          </w:tcPr>
          <w:p>
            <w:pPr>
              <w:ind w:left="-158" w:right="-108"/>
              <w:jc w:val="center"/>
            </w:pPr>
            <w:proofErr w:type="spellStart"/>
            <w:r>
              <w:t>Первона-чальный</w:t>
            </w:r>
            <w:proofErr w:type="spellEnd"/>
            <w:r>
              <w:t xml:space="preserve"> прогноз, тыс</w:t>
            </w:r>
            <w:proofErr w:type="gramStart"/>
            <w:r>
              <w:t>.р</w:t>
            </w:r>
            <w:proofErr w:type="gramEnd"/>
            <w:r>
              <w:t>уб.</w:t>
            </w:r>
          </w:p>
        </w:tc>
        <w:tc>
          <w:tcPr>
            <w:tcW w:w="1134" w:type="dxa"/>
            <w:vAlign w:val="center"/>
          </w:tcPr>
          <w:p>
            <w:pPr>
              <w:ind w:left="-158" w:right="-108"/>
              <w:jc w:val="center"/>
            </w:pPr>
            <w:r>
              <w:t>Уточненный прогноз, тыс.руб.</w:t>
            </w:r>
          </w:p>
        </w:tc>
        <w:tc>
          <w:tcPr>
            <w:tcW w:w="1134" w:type="dxa"/>
            <w:vAlign w:val="center"/>
          </w:tcPr>
          <w:p>
            <w:pPr>
              <w:ind w:left="-108" w:right="-108"/>
              <w:jc w:val="center"/>
            </w:pPr>
            <w:r>
              <w:t xml:space="preserve">Факт, </w:t>
            </w:r>
            <w:r>
              <w:br/>
              <w:t>тыс.руб.</w:t>
            </w:r>
          </w:p>
        </w:tc>
        <w:tc>
          <w:tcPr>
            <w:tcW w:w="1138" w:type="dxa"/>
            <w:vAlign w:val="center"/>
          </w:tcPr>
          <w:p>
            <w:pPr>
              <w:pStyle w:val="a5"/>
              <w:tabs>
                <w:tab w:val="left" w:pos="-108"/>
                <w:tab w:val="left" w:pos="-77"/>
              </w:tabs>
              <w:spacing w:after="0"/>
              <w:ind w:left="-108" w:right="-108"/>
              <w:jc w:val="center"/>
            </w:pPr>
            <w:r>
              <w:t>Отклонение</w:t>
            </w:r>
          </w:p>
          <w:p>
            <w:pPr>
              <w:pStyle w:val="a5"/>
              <w:tabs>
                <w:tab w:val="left" w:pos="-108"/>
                <w:tab w:val="left" w:pos="-77"/>
              </w:tabs>
              <w:spacing w:after="0"/>
              <w:ind w:left="-108" w:right="-108"/>
              <w:jc w:val="center"/>
            </w:pPr>
            <w:r>
              <w:t>тыс.руб.</w:t>
            </w:r>
          </w:p>
        </w:tc>
        <w:tc>
          <w:tcPr>
            <w:tcW w:w="839" w:type="dxa"/>
            <w:vAlign w:val="center"/>
          </w:tcPr>
          <w:p>
            <w:pPr>
              <w:pStyle w:val="a5"/>
              <w:tabs>
                <w:tab w:val="left" w:pos="-192"/>
                <w:tab w:val="left" w:pos="-77"/>
              </w:tabs>
              <w:spacing w:after="0"/>
              <w:ind w:left="-108" w:right="-108"/>
              <w:jc w:val="center"/>
            </w:pPr>
            <w:r>
              <w:t>%</w:t>
            </w:r>
          </w:p>
          <w:p>
            <w:pPr>
              <w:pStyle w:val="a5"/>
              <w:tabs>
                <w:tab w:val="left" w:pos="-192"/>
                <w:tab w:val="left" w:pos="0"/>
              </w:tabs>
              <w:spacing w:after="0"/>
              <w:ind w:left="-108" w:right="-108"/>
              <w:jc w:val="center"/>
            </w:pPr>
            <w:proofErr w:type="spellStart"/>
            <w:proofErr w:type="gramStart"/>
            <w:r>
              <w:t>испол-нения</w:t>
            </w:r>
            <w:proofErr w:type="spellEnd"/>
            <w:proofErr w:type="gramEnd"/>
          </w:p>
        </w:tc>
      </w:tr>
      <w:tr>
        <w:trPr>
          <w:trHeight w:val="166"/>
          <w:jc w:val="center"/>
        </w:trPr>
        <w:tc>
          <w:tcPr>
            <w:tcW w:w="2971" w:type="dxa"/>
            <w:vAlign w:val="center"/>
          </w:tcPr>
          <w:p>
            <w:pPr>
              <w:pStyle w:val="a5"/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vAlign w:val="center"/>
          </w:tcPr>
          <w:p>
            <w:pPr>
              <w:ind w:left="-57" w:right="-57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992" w:type="dxa"/>
            <w:vAlign w:val="center"/>
          </w:tcPr>
          <w:p>
            <w:pPr>
              <w:ind w:left="-57" w:right="-57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138" w:type="dxa"/>
            <w:shd w:val="clear" w:color="auto" w:fill="auto"/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6=5-4</w:t>
            </w:r>
          </w:p>
        </w:tc>
        <w:tc>
          <w:tcPr>
            <w:tcW w:w="839" w:type="dxa"/>
            <w:shd w:val="clear" w:color="auto" w:fill="auto"/>
            <w:vAlign w:val="center"/>
          </w:tcPr>
          <w:p>
            <w:pPr>
              <w:pStyle w:val="a5"/>
              <w:spacing w:after="0"/>
              <w:ind w:left="-57" w:right="-5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7=5/4</w:t>
            </w:r>
          </w:p>
        </w:tc>
      </w:tr>
      <w:tr>
        <w:trPr>
          <w:trHeight w:val="804"/>
          <w:jc w:val="center"/>
        </w:trPr>
        <w:tc>
          <w:tcPr>
            <w:tcW w:w="2971" w:type="dxa"/>
            <w:vAlign w:val="center"/>
          </w:tcPr>
          <w:p>
            <w:pPr>
              <w:pStyle w:val="a5"/>
              <w:spacing w:after="0"/>
            </w:pPr>
            <w:r>
              <w:t xml:space="preserve"> Доходы от использования имущества, находящегося в муниципальной собственности</w:t>
            </w:r>
          </w:p>
        </w:tc>
        <w:tc>
          <w:tcPr>
            <w:tcW w:w="1134" w:type="dxa"/>
            <w:vAlign w:val="center"/>
          </w:tcPr>
          <w:p>
            <w:pPr>
              <w:ind w:left="-57" w:right="-57"/>
              <w:jc w:val="right"/>
              <w:rPr>
                <w:color w:val="000000"/>
              </w:rPr>
            </w:pPr>
            <w:r>
              <w:rPr>
                <w:color w:val="000000"/>
              </w:rPr>
              <w:t>88 286,46</w:t>
            </w:r>
          </w:p>
        </w:tc>
        <w:tc>
          <w:tcPr>
            <w:tcW w:w="992" w:type="dxa"/>
            <w:vAlign w:val="center"/>
          </w:tcPr>
          <w:p>
            <w:pPr>
              <w:ind w:left="-57" w:right="-57"/>
              <w:jc w:val="right"/>
              <w:rPr>
                <w:color w:val="000000"/>
              </w:rPr>
            </w:pPr>
            <w:r>
              <w:rPr>
                <w:color w:val="000000"/>
              </w:rPr>
              <w:t>84 958,96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87 249,54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90 197,79</w:t>
            </w:r>
          </w:p>
        </w:tc>
        <w:tc>
          <w:tcPr>
            <w:tcW w:w="1138" w:type="dxa"/>
            <w:shd w:val="clear" w:color="auto" w:fill="auto"/>
            <w:vAlign w:val="center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2 948,25</w:t>
            </w:r>
          </w:p>
        </w:tc>
        <w:tc>
          <w:tcPr>
            <w:tcW w:w="839" w:type="dxa"/>
            <w:shd w:val="clear" w:color="auto" w:fill="auto"/>
            <w:vAlign w:val="center"/>
          </w:tcPr>
          <w:p>
            <w:pPr>
              <w:pStyle w:val="a5"/>
              <w:spacing w:after="0"/>
              <w:ind w:left="-57" w:right="-57"/>
              <w:jc w:val="center"/>
            </w:pPr>
            <w:r>
              <w:t>103,4</w:t>
            </w:r>
          </w:p>
        </w:tc>
      </w:tr>
    </w:tbl>
    <w:p>
      <w:pPr>
        <w:pStyle w:val="a5"/>
        <w:spacing w:before="120" w:after="0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Удельный вес доходов от использования муниципального имущества в общей структуре фактически поступивших доходов составляет 2%, налоговых и неналоговых доходах - 8%.</w:t>
      </w:r>
    </w:p>
    <w:p>
      <w:pPr>
        <w:pStyle w:val="a5"/>
        <w:spacing w:after="0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По сравнению с 2018 годом увеличение поступлений по статье составило 1 911,33 тыс.руб. или на 2,2% в основном за счет поступлений от аренды земельных участков, аренды движимого имущества и рекламных конструкций.</w:t>
      </w:r>
    </w:p>
    <w:p>
      <w:pPr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 xml:space="preserve">3.2.1.1. Доходы в виде прибыли, приходящейся на доли </w:t>
      </w:r>
    </w:p>
    <w:p>
      <w:pPr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в уставных (складочных) капиталах хозяйственных товариществ </w:t>
      </w:r>
    </w:p>
    <w:p>
      <w:pPr>
        <w:spacing w:after="120"/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и обществ, или дивидендов по акциям, принадлежащим городским округам</w:t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Прогноз поступлений по данной статье составлял 456,68 тыс.руб., фактически поступили доходы в сумме 456,68 тыс.руб., или 100,0%. </w:t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В 2019 году поступили дивиденды по акциям АО «ЕРКЦ», ООО «Городские аптеки», ООО «Аптека «Здоровье», АО «СВК».</w:t>
      </w:r>
    </w:p>
    <w:p>
      <w:pPr>
        <w:spacing w:before="120" w:after="6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Таблица 24. Анализ поступления доходов в виде прибыли, приходящейся на доли в уставных (складочных) капиталах хозяйственных товариществ и обществ, или дивидендов по акциям, принадлежащим городским округам за 2018 - 2019 гг.</w:t>
      </w:r>
    </w:p>
    <w:tbl>
      <w:tblPr>
        <w:tblW w:w="93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36"/>
        <w:gridCol w:w="1134"/>
        <w:gridCol w:w="1134"/>
        <w:gridCol w:w="1134"/>
        <w:gridCol w:w="1134"/>
        <w:gridCol w:w="1134"/>
        <w:gridCol w:w="709"/>
      </w:tblGrid>
      <w:tr>
        <w:trPr>
          <w:trHeight w:val="249"/>
          <w:jc w:val="center"/>
        </w:trPr>
        <w:tc>
          <w:tcPr>
            <w:tcW w:w="2936" w:type="dxa"/>
            <w:vMerge w:val="restart"/>
            <w:vAlign w:val="center"/>
          </w:tcPr>
          <w:p>
            <w:pPr>
              <w:pStyle w:val="a5"/>
              <w:ind w:right="-2"/>
              <w:jc w:val="center"/>
              <w:rPr>
                <w:sz w:val="22"/>
                <w:szCs w:val="22"/>
              </w:rPr>
            </w:pPr>
          </w:p>
          <w:p>
            <w:pPr>
              <w:pStyle w:val="a5"/>
              <w:ind w:right="-2"/>
              <w:jc w:val="center"/>
            </w:pPr>
            <w:r>
              <w:t xml:space="preserve">Наименование </w:t>
            </w:r>
          </w:p>
        </w:tc>
        <w:tc>
          <w:tcPr>
            <w:tcW w:w="1134" w:type="dxa"/>
            <w:vMerge w:val="restart"/>
            <w:vAlign w:val="center"/>
          </w:tcPr>
          <w:p>
            <w:pPr>
              <w:ind w:right="-57"/>
              <w:jc w:val="center"/>
              <w:rPr>
                <w:bCs/>
              </w:rPr>
            </w:pPr>
            <w:r>
              <w:rPr>
                <w:bCs/>
              </w:rPr>
              <w:t xml:space="preserve">Факт </w:t>
            </w:r>
          </w:p>
          <w:p>
            <w:pPr>
              <w:ind w:right="-57"/>
              <w:jc w:val="center"/>
              <w:rPr>
                <w:bCs/>
              </w:rPr>
            </w:pPr>
            <w:r>
              <w:rPr>
                <w:bCs/>
              </w:rPr>
              <w:t>2018 год, тыс.руб.</w:t>
            </w:r>
          </w:p>
        </w:tc>
        <w:tc>
          <w:tcPr>
            <w:tcW w:w="5245" w:type="dxa"/>
            <w:gridSpan w:val="5"/>
            <w:vAlign w:val="center"/>
          </w:tcPr>
          <w:p>
            <w:pPr>
              <w:ind w:left="-57" w:right="-57"/>
              <w:jc w:val="center"/>
            </w:pPr>
            <w:r>
              <w:t>2019 год</w:t>
            </w:r>
          </w:p>
        </w:tc>
      </w:tr>
      <w:tr>
        <w:trPr>
          <w:trHeight w:val="768"/>
          <w:jc w:val="center"/>
        </w:trPr>
        <w:tc>
          <w:tcPr>
            <w:tcW w:w="2936" w:type="dxa"/>
            <w:vMerge/>
            <w:vAlign w:val="center"/>
          </w:tcPr>
          <w:p>
            <w:pPr>
              <w:pStyle w:val="a5"/>
              <w:spacing w:after="0"/>
              <w:ind w:right="-2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vAlign w:val="center"/>
          </w:tcPr>
          <w:p>
            <w:pPr>
              <w:ind w:left="-108" w:right="-108"/>
              <w:jc w:val="center"/>
            </w:pPr>
          </w:p>
        </w:tc>
        <w:tc>
          <w:tcPr>
            <w:tcW w:w="1134" w:type="dxa"/>
          </w:tcPr>
          <w:p>
            <w:pPr>
              <w:ind w:left="-158" w:right="-108"/>
              <w:jc w:val="center"/>
            </w:pPr>
            <w:proofErr w:type="spellStart"/>
            <w:r>
              <w:t>Первона-чальный</w:t>
            </w:r>
            <w:proofErr w:type="spellEnd"/>
            <w:r>
              <w:t xml:space="preserve"> прогноз, тыс</w:t>
            </w:r>
            <w:proofErr w:type="gramStart"/>
            <w:r>
              <w:t>.р</w:t>
            </w:r>
            <w:proofErr w:type="gramEnd"/>
            <w:r>
              <w:t>уб.</w:t>
            </w:r>
          </w:p>
        </w:tc>
        <w:tc>
          <w:tcPr>
            <w:tcW w:w="1134" w:type="dxa"/>
            <w:vAlign w:val="center"/>
          </w:tcPr>
          <w:p>
            <w:pPr>
              <w:ind w:left="-158" w:right="-108"/>
              <w:jc w:val="center"/>
            </w:pPr>
            <w:r>
              <w:t>Уточненный прогноз,</w:t>
            </w:r>
            <w:r>
              <w:br/>
              <w:t>тыс</w:t>
            </w:r>
            <w:proofErr w:type="gramStart"/>
            <w:r>
              <w:t>.р</w:t>
            </w:r>
            <w:proofErr w:type="gramEnd"/>
            <w:r>
              <w:t>уб.</w:t>
            </w:r>
          </w:p>
        </w:tc>
        <w:tc>
          <w:tcPr>
            <w:tcW w:w="1134" w:type="dxa"/>
            <w:vAlign w:val="center"/>
          </w:tcPr>
          <w:p>
            <w:pPr>
              <w:ind w:left="-108" w:right="-108"/>
              <w:jc w:val="center"/>
            </w:pPr>
            <w:r>
              <w:t xml:space="preserve">Факт, </w:t>
            </w:r>
            <w:r>
              <w:br/>
              <w:t>тыс.руб.</w:t>
            </w:r>
          </w:p>
        </w:tc>
        <w:tc>
          <w:tcPr>
            <w:tcW w:w="1134" w:type="dxa"/>
            <w:vAlign w:val="center"/>
          </w:tcPr>
          <w:p>
            <w:pPr>
              <w:pStyle w:val="a5"/>
              <w:tabs>
                <w:tab w:val="left" w:pos="-108"/>
                <w:tab w:val="left" w:pos="-77"/>
              </w:tabs>
              <w:spacing w:after="0"/>
              <w:ind w:left="-108" w:right="-108"/>
              <w:jc w:val="center"/>
            </w:pPr>
            <w:r>
              <w:t>Отклонение</w:t>
            </w:r>
          </w:p>
          <w:p>
            <w:pPr>
              <w:pStyle w:val="a5"/>
              <w:tabs>
                <w:tab w:val="left" w:pos="-108"/>
                <w:tab w:val="left" w:pos="-77"/>
              </w:tabs>
              <w:spacing w:after="0"/>
              <w:ind w:left="-108" w:right="-108"/>
              <w:jc w:val="center"/>
            </w:pPr>
            <w:r>
              <w:t>тыс.руб.</w:t>
            </w:r>
          </w:p>
        </w:tc>
        <w:tc>
          <w:tcPr>
            <w:tcW w:w="709" w:type="dxa"/>
            <w:vAlign w:val="center"/>
          </w:tcPr>
          <w:p>
            <w:pPr>
              <w:pStyle w:val="a5"/>
              <w:tabs>
                <w:tab w:val="left" w:pos="-192"/>
                <w:tab w:val="left" w:pos="-77"/>
              </w:tabs>
              <w:spacing w:after="0"/>
              <w:ind w:left="-108" w:right="-108"/>
              <w:jc w:val="center"/>
            </w:pPr>
            <w:r>
              <w:t>%</w:t>
            </w:r>
          </w:p>
          <w:p>
            <w:pPr>
              <w:pStyle w:val="a5"/>
              <w:tabs>
                <w:tab w:val="left" w:pos="-192"/>
                <w:tab w:val="left" w:pos="0"/>
              </w:tabs>
              <w:spacing w:after="0"/>
              <w:ind w:left="-108" w:right="-108"/>
              <w:jc w:val="center"/>
            </w:pPr>
            <w:proofErr w:type="spellStart"/>
            <w:proofErr w:type="gramStart"/>
            <w:r>
              <w:t>испол-нения</w:t>
            </w:r>
            <w:proofErr w:type="spellEnd"/>
            <w:proofErr w:type="gramEnd"/>
          </w:p>
        </w:tc>
      </w:tr>
      <w:tr>
        <w:trPr>
          <w:trHeight w:val="217"/>
          <w:jc w:val="center"/>
        </w:trPr>
        <w:tc>
          <w:tcPr>
            <w:tcW w:w="2936" w:type="dxa"/>
            <w:vAlign w:val="center"/>
          </w:tcPr>
          <w:p>
            <w:pPr>
              <w:pStyle w:val="a5"/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vAlign w:val="center"/>
          </w:tcPr>
          <w:p>
            <w:pPr>
              <w:ind w:left="-57" w:right="-57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134" w:type="dxa"/>
            <w:vAlign w:val="center"/>
          </w:tcPr>
          <w:p>
            <w:pPr>
              <w:ind w:left="-57" w:right="-57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6=5-4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pStyle w:val="a5"/>
              <w:spacing w:after="0"/>
              <w:ind w:left="-57" w:right="-5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7=5/4</w:t>
            </w:r>
          </w:p>
        </w:tc>
      </w:tr>
      <w:tr>
        <w:trPr>
          <w:trHeight w:val="767"/>
          <w:jc w:val="center"/>
        </w:trPr>
        <w:tc>
          <w:tcPr>
            <w:tcW w:w="2936" w:type="dxa"/>
            <w:vAlign w:val="center"/>
          </w:tcPr>
          <w:p>
            <w:pPr>
              <w:pStyle w:val="a5"/>
              <w:tabs>
                <w:tab w:val="left" w:pos="3845"/>
              </w:tabs>
              <w:spacing w:after="0"/>
              <w:ind w:right="-57"/>
            </w:pPr>
            <w:r>
              <w:t>Доходы в виде прибыли на доли в УК по акциям, принадлежащим ЗАТО, в т.ч.: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</w:pPr>
            <w:r>
              <w:t>17,11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</w:pPr>
            <w:r>
              <w:t>14,10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jc w:val="center"/>
            </w:pPr>
            <w:r>
              <w:t>456,68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jc w:val="center"/>
            </w:pPr>
            <w:r>
              <w:t>456,68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jc w:val="center"/>
            </w:pPr>
            <w: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pStyle w:val="a5"/>
              <w:spacing w:after="0"/>
              <w:ind w:left="-57" w:right="-57"/>
              <w:jc w:val="center"/>
            </w:pPr>
            <w:r>
              <w:t>100,0</w:t>
            </w:r>
          </w:p>
        </w:tc>
      </w:tr>
      <w:tr>
        <w:trPr>
          <w:trHeight w:val="284"/>
          <w:jc w:val="center"/>
        </w:trPr>
        <w:tc>
          <w:tcPr>
            <w:tcW w:w="2936" w:type="dxa"/>
            <w:vAlign w:val="center"/>
          </w:tcPr>
          <w:p>
            <w:pPr>
              <w:pStyle w:val="a5"/>
              <w:tabs>
                <w:tab w:val="left" w:pos="3845"/>
              </w:tabs>
              <w:spacing w:after="0"/>
              <w:ind w:right="-57"/>
            </w:pPr>
            <w:r>
              <w:t>АО «ЕРКЦ»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</w:pPr>
            <w:r>
              <w:t>12,40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</w:pPr>
            <w:r>
              <w:t>10,20</w:t>
            </w:r>
          </w:p>
        </w:tc>
        <w:tc>
          <w:tcPr>
            <w:tcW w:w="1134" w:type="dxa"/>
            <w:shd w:val="clear" w:color="auto" w:fill="auto"/>
          </w:tcPr>
          <w:p>
            <w:pPr>
              <w:jc w:val="center"/>
            </w:pPr>
            <w:r>
              <w:t>14,80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jc w:val="center"/>
            </w:pPr>
            <w:r>
              <w:t>14,80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jc w:val="center"/>
            </w:pPr>
            <w: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pStyle w:val="a5"/>
              <w:spacing w:after="0"/>
              <w:ind w:left="-57" w:right="-57"/>
              <w:jc w:val="center"/>
            </w:pPr>
            <w:r>
              <w:t>100,0</w:t>
            </w:r>
          </w:p>
        </w:tc>
      </w:tr>
      <w:tr>
        <w:trPr>
          <w:trHeight w:val="284"/>
          <w:jc w:val="center"/>
        </w:trPr>
        <w:tc>
          <w:tcPr>
            <w:tcW w:w="2936" w:type="dxa"/>
            <w:vAlign w:val="center"/>
          </w:tcPr>
          <w:p>
            <w:pPr>
              <w:pStyle w:val="a5"/>
              <w:tabs>
                <w:tab w:val="left" w:pos="3845"/>
              </w:tabs>
              <w:spacing w:after="0"/>
              <w:ind w:right="-57"/>
            </w:pPr>
            <w:r>
              <w:t>ООО «Городские аптеки»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</w:pPr>
            <w:r>
              <w:t>0,81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</w:pPr>
            <w:r>
              <w:t>0,00</w:t>
            </w:r>
          </w:p>
        </w:tc>
        <w:tc>
          <w:tcPr>
            <w:tcW w:w="1134" w:type="dxa"/>
            <w:shd w:val="clear" w:color="auto" w:fill="auto"/>
          </w:tcPr>
          <w:p>
            <w:pPr>
              <w:jc w:val="center"/>
            </w:pPr>
            <w:r>
              <w:t>1,57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jc w:val="center"/>
            </w:pPr>
            <w:r>
              <w:t>1,57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jc w:val="center"/>
            </w:pPr>
            <w: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pStyle w:val="a5"/>
              <w:spacing w:after="0"/>
              <w:ind w:left="-57" w:right="-57"/>
              <w:jc w:val="center"/>
            </w:pPr>
            <w:r>
              <w:t>100,0</w:t>
            </w:r>
          </w:p>
        </w:tc>
      </w:tr>
      <w:tr>
        <w:trPr>
          <w:trHeight w:val="284"/>
          <w:jc w:val="center"/>
        </w:trPr>
        <w:tc>
          <w:tcPr>
            <w:tcW w:w="2936" w:type="dxa"/>
            <w:vAlign w:val="center"/>
          </w:tcPr>
          <w:p>
            <w:pPr>
              <w:pStyle w:val="a5"/>
              <w:tabs>
                <w:tab w:val="left" w:pos="3845"/>
              </w:tabs>
              <w:spacing w:after="0"/>
              <w:ind w:right="-57"/>
            </w:pPr>
            <w:r>
              <w:t>ООО «Аптека «Здоровье»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</w:pPr>
            <w:r>
              <w:t>0,39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</w:pPr>
            <w:r>
              <w:t>3,90</w:t>
            </w:r>
          </w:p>
        </w:tc>
        <w:tc>
          <w:tcPr>
            <w:tcW w:w="1134" w:type="dxa"/>
            <w:shd w:val="clear" w:color="auto" w:fill="auto"/>
          </w:tcPr>
          <w:p>
            <w:pPr>
              <w:jc w:val="center"/>
            </w:pPr>
            <w:r>
              <w:t>1,95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jc w:val="center"/>
            </w:pPr>
            <w:r>
              <w:t>1,95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jc w:val="center"/>
            </w:pPr>
            <w: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pStyle w:val="a5"/>
              <w:spacing w:after="0"/>
              <w:ind w:left="-57" w:right="-57"/>
              <w:jc w:val="center"/>
            </w:pPr>
            <w:r>
              <w:t>100,0</w:t>
            </w:r>
          </w:p>
        </w:tc>
      </w:tr>
      <w:tr>
        <w:trPr>
          <w:trHeight w:val="284"/>
          <w:jc w:val="center"/>
        </w:trPr>
        <w:tc>
          <w:tcPr>
            <w:tcW w:w="2936" w:type="dxa"/>
            <w:vAlign w:val="center"/>
          </w:tcPr>
          <w:p>
            <w:pPr>
              <w:pStyle w:val="a5"/>
              <w:tabs>
                <w:tab w:val="left" w:pos="3845"/>
              </w:tabs>
              <w:spacing w:after="0"/>
              <w:ind w:right="-57"/>
            </w:pPr>
            <w:r>
              <w:t>АО «СВК»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</w:pPr>
            <w:r>
              <w:t>0,00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</w:pPr>
            <w:r>
              <w:t>0,00</w:t>
            </w:r>
          </w:p>
        </w:tc>
        <w:tc>
          <w:tcPr>
            <w:tcW w:w="1134" w:type="dxa"/>
            <w:shd w:val="clear" w:color="auto" w:fill="auto"/>
          </w:tcPr>
          <w:p>
            <w:pPr>
              <w:jc w:val="center"/>
            </w:pPr>
            <w:r>
              <w:t>438,36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jc w:val="center"/>
            </w:pPr>
            <w:r>
              <w:t>438,36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jc w:val="center"/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pStyle w:val="a5"/>
              <w:spacing w:after="0"/>
              <w:ind w:left="-57" w:right="-57"/>
              <w:jc w:val="center"/>
            </w:pPr>
            <w:r>
              <w:t>100,0</w:t>
            </w:r>
          </w:p>
        </w:tc>
      </w:tr>
    </w:tbl>
    <w:p>
      <w:pPr>
        <w:ind w:firstLine="708"/>
        <w:jc w:val="both"/>
        <w:rPr>
          <w:sz w:val="24"/>
          <w:szCs w:val="24"/>
          <w:highlight w:val="yellow"/>
        </w:rPr>
      </w:pPr>
    </w:p>
    <w:p>
      <w:pPr>
        <w:pStyle w:val="a5"/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3.2.1.2. Арендная плата за землю</w:t>
      </w:r>
    </w:p>
    <w:p>
      <w:pPr>
        <w:tabs>
          <w:tab w:val="left" w:pos="0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Прогноз поступлений по статье «Арендная плата за землю» составлял 47 858,90 тыс.руб., фактическое поступление – 49 623,26 тыс.руб., перевыполнение на 1 764,36 тыс.руб. или на 3,7%.</w:t>
      </w:r>
    </w:p>
    <w:p>
      <w:pPr>
        <w:pStyle w:val="a5"/>
        <w:spacing w:before="120" w:after="60"/>
        <w:ind w:firstLine="709"/>
        <w:rPr>
          <w:sz w:val="24"/>
          <w:szCs w:val="24"/>
        </w:rPr>
      </w:pPr>
      <w:r>
        <w:rPr>
          <w:sz w:val="24"/>
          <w:szCs w:val="24"/>
        </w:rPr>
        <w:t>Таблица 25. Поступление арендной платы за землю в 2018-2019 гг. по подстатьям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02"/>
        <w:gridCol w:w="1275"/>
        <w:gridCol w:w="1276"/>
        <w:gridCol w:w="1134"/>
        <w:gridCol w:w="992"/>
        <w:gridCol w:w="1134"/>
        <w:gridCol w:w="851"/>
      </w:tblGrid>
      <w:tr>
        <w:trPr>
          <w:trHeight w:val="263"/>
        </w:trPr>
        <w:tc>
          <w:tcPr>
            <w:tcW w:w="2802" w:type="dxa"/>
            <w:vMerge w:val="restart"/>
            <w:shd w:val="clear" w:color="auto" w:fill="auto"/>
            <w:vAlign w:val="center"/>
          </w:tcPr>
          <w:p>
            <w:pPr>
              <w:pStyle w:val="a5"/>
              <w:jc w:val="center"/>
            </w:pPr>
            <w:r>
              <w:t xml:space="preserve">Наименование </w:t>
            </w:r>
          </w:p>
        </w:tc>
        <w:tc>
          <w:tcPr>
            <w:tcW w:w="1275" w:type="dxa"/>
            <w:vMerge w:val="restart"/>
            <w:vAlign w:val="center"/>
          </w:tcPr>
          <w:p>
            <w:pPr>
              <w:ind w:right="-57"/>
              <w:jc w:val="center"/>
              <w:rPr>
                <w:bCs/>
              </w:rPr>
            </w:pPr>
            <w:r>
              <w:rPr>
                <w:bCs/>
              </w:rPr>
              <w:t>Факт</w:t>
            </w:r>
          </w:p>
          <w:p>
            <w:pPr>
              <w:pStyle w:val="a5"/>
              <w:spacing w:after="0"/>
              <w:ind w:left="-142" w:right="-122"/>
              <w:jc w:val="center"/>
              <w:rPr>
                <w:sz w:val="22"/>
                <w:szCs w:val="22"/>
              </w:rPr>
            </w:pPr>
            <w:r>
              <w:rPr>
                <w:bCs/>
              </w:rPr>
              <w:t>2018 год, тыс.руб.</w:t>
            </w:r>
          </w:p>
        </w:tc>
        <w:tc>
          <w:tcPr>
            <w:tcW w:w="5387" w:type="dxa"/>
            <w:gridSpan w:val="5"/>
          </w:tcPr>
          <w:p>
            <w:pPr>
              <w:pStyle w:val="a5"/>
              <w:spacing w:after="0"/>
              <w:ind w:left="-107" w:right="-15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2019 год</w:t>
            </w:r>
          </w:p>
        </w:tc>
      </w:tr>
      <w:tr>
        <w:trPr>
          <w:trHeight w:val="610"/>
        </w:trPr>
        <w:tc>
          <w:tcPr>
            <w:tcW w:w="2802" w:type="dxa"/>
            <w:vMerge/>
            <w:shd w:val="clear" w:color="auto" w:fill="auto"/>
            <w:vAlign w:val="center"/>
          </w:tcPr>
          <w:p>
            <w:pPr>
              <w:pStyle w:val="a5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>
            <w:pPr>
              <w:pStyle w:val="a5"/>
              <w:spacing w:after="0"/>
              <w:ind w:left="-142" w:right="-122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>
            <w:pPr>
              <w:ind w:left="-158" w:right="-108"/>
              <w:jc w:val="center"/>
              <w:rPr>
                <w:highlight w:val="yellow"/>
              </w:rPr>
            </w:pPr>
            <w:proofErr w:type="spellStart"/>
            <w:r>
              <w:t>Первона-чальный</w:t>
            </w:r>
            <w:proofErr w:type="spellEnd"/>
            <w:r>
              <w:t xml:space="preserve"> прогноз, тыс</w:t>
            </w:r>
            <w:proofErr w:type="gramStart"/>
            <w:r>
              <w:t>.р</w:t>
            </w:r>
            <w:proofErr w:type="gramEnd"/>
            <w:r>
              <w:t>уб.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ind w:left="-158" w:right="-108"/>
              <w:jc w:val="center"/>
              <w:rPr>
                <w:highlight w:val="yellow"/>
              </w:rPr>
            </w:pPr>
            <w:r>
              <w:t>Уточненный прогноз,</w:t>
            </w:r>
            <w:r>
              <w:br/>
              <w:t>тыс</w:t>
            </w:r>
            <w:proofErr w:type="gramStart"/>
            <w:r>
              <w:t>.р</w:t>
            </w:r>
            <w:proofErr w:type="gramEnd"/>
            <w:r>
              <w:t>уб.</w:t>
            </w:r>
          </w:p>
        </w:tc>
        <w:tc>
          <w:tcPr>
            <w:tcW w:w="992" w:type="dxa"/>
            <w:shd w:val="clear" w:color="auto" w:fill="auto"/>
            <w:vAlign w:val="center"/>
          </w:tcPr>
          <w:p>
            <w:pPr>
              <w:ind w:left="-108" w:right="-108"/>
              <w:jc w:val="center"/>
            </w:pPr>
            <w:r>
              <w:t xml:space="preserve">Факт, </w:t>
            </w:r>
            <w:r>
              <w:br/>
              <w:t>тыс.руб.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pStyle w:val="a5"/>
              <w:tabs>
                <w:tab w:val="left" w:pos="-108"/>
                <w:tab w:val="left" w:pos="-77"/>
              </w:tabs>
              <w:spacing w:after="0"/>
              <w:ind w:left="-108" w:right="-108"/>
              <w:jc w:val="center"/>
            </w:pPr>
            <w:r>
              <w:t>Отклонение</w:t>
            </w:r>
          </w:p>
          <w:p>
            <w:pPr>
              <w:pStyle w:val="a5"/>
              <w:tabs>
                <w:tab w:val="left" w:pos="-108"/>
                <w:tab w:val="left" w:pos="-77"/>
              </w:tabs>
              <w:spacing w:after="0"/>
              <w:ind w:left="-108" w:right="-108"/>
              <w:jc w:val="center"/>
            </w:pPr>
            <w:r>
              <w:t>тыс.руб.</w:t>
            </w:r>
          </w:p>
        </w:tc>
        <w:tc>
          <w:tcPr>
            <w:tcW w:w="851" w:type="dxa"/>
            <w:shd w:val="clear" w:color="auto" w:fill="auto"/>
            <w:vAlign w:val="center"/>
          </w:tcPr>
          <w:p>
            <w:pPr>
              <w:pStyle w:val="a5"/>
              <w:tabs>
                <w:tab w:val="left" w:pos="-192"/>
                <w:tab w:val="left" w:pos="-77"/>
              </w:tabs>
              <w:spacing w:after="0"/>
              <w:ind w:left="-108" w:right="-108"/>
              <w:jc w:val="center"/>
            </w:pPr>
            <w:r>
              <w:t>%</w:t>
            </w:r>
          </w:p>
          <w:p>
            <w:pPr>
              <w:pStyle w:val="a5"/>
              <w:tabs>
                <w:tab w:val="left" w:pos="-192"/>
                <w:tab w:val="left" w:pos="-77"/>
              </w:tabs>
              <w:spacing w:after="0"/>
              <w:ind w:left="-108" w:right="-108"/>
              <w:jc w:val="center"/>
            </w:pPr>
            <w:proofErr w:type="spellStart"/>
            <w:proofErr w:type="gramStart"/>
            <w:r>
              <w:t>испол-нения</w:t>
            </w:r>
            <w:proofErr w:type="spellEnd"/>
            <w:proofErr w:type="gramEnd"/>
          </w:p>
        </w:tc>
      </w:tr>
      <w:tr>
        <w:trPr>
          <w:trHeight w:val="137"/>
        </w:trPr>
        <w:tc>
          <w:tcPr>
            <w:tcW w:w="2802" w:type="dxa"/>
            <w:shd w:val="clear" w:color="auto" w:fill="auto"/>
          </w:tcPr>
          <w:p>
            <w:pPr>
              <w:pStyle w:val="a5"/>
              <w:spacing w:after="0"/>
              <w:ind w:right="-2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275" w:type="dxa"/>
          </w:tcPr>
          <w:p>
            <w:pPr>
              <w:pStyle w:val="a5"/>
              <w:spacing w:after="0"/>
              <w:ind w:right="-5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276" w:type="dxa"/>
          </w:tcPr>
          <w:p>
            <w:pPr>
              <w:pStyle w:val="a5"/>
              <w:spacing w:after="0"/>
              <w:ind w:right="-5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>
            <w:pPr>
              <w:pStyle w:val="a5"/>
              <w:spacing w:after="0"/>
              <w:ind w:right="-5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>
            <w:pPr>
              <w:pStyle w:val="a5"/>
              <w:spacing w:after="0"/>
              <w:ind w:right="-5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>
            <w:pPr>
              <w:pStyle w:val="a5"/>
              <w:spacing w:after="0"/>
              <w:ind w:left="-107" w:right="-10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6=5-4</w:t>
            </w:r>
          </w:p>
        </w:tc>
        <w:tc>
          <w:tcPr>
            <w:tcW w:w="851" w:type="dxa"/>
            <w:shd w:val="clear" w:color="auto" w:fill="auto"/>
          </w:tcPr>
          <w:p>
            <w:pPr>
              <w:pStyle w:val="a5"/>
              <w:spacing w:after="0"/>
              <w:ind w:left="-107" w:right="-10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7=5/4</w:t>
            </w:r>
          </w:p>
        </w:tc>
      </w:tr>
      <w:tr>
        <w:trPr>
          <w:trHeight w:val="241"/>
        </w:trPr>
        <w:tc>
          <w:tcPr>
            <w:tcW w:w="2802" w:type="dxa"/>
            <w:shd w:val="clear" w:color="auto" w:fill="auto"/>
          </w:tcPr>
          <w:p>
            <w:pPr>
              <w:pStyle w:val="a5"/>
              <w:spacing w:after="0"/>
              <w:ind w:right="-2"/>
            </w:pPr>
            <w:r>
              <w:t>Арендная плата за землю, всего:</w:t>
            </w:r>
          </w:p>
        </w:tc>
        <w:tc>
          <w:tcPr>
            <w:tcW w:w="1275" w:type="dxa"/>
            <w:vAlign w:val="center"/>
          </w:tcPr>
          <w:p>
            <w:pPr>
              <w:jc w:val="right"/>
            </w:pPr>
            <w:r>
              <w:t>48 524,50</w:t>
            </w:r>
          </w:p>
        </w:tc>
        <w:tc>
          <w:tcPr>
            <w:tcW w:w="1276" w:type="dxa"/>
            <w:vAlign w:val="center"/>
          </w:tcPr>
          <w:p>
            <w:pPr>
              <w:pStyle w:val="a5"/>
              <w:spacing w:after="0"/>
              <w:ind w:right="-57"/>
              <w:jc w:val="center"/>
            </w:pPr>
            <w:r>
              <w:t>47 458,90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pStyle w:val="a5"/>
              <w:spacing w:after="0"/>
              <w:ind w:right="-57"/>
              <w:jc w:val="right"/>
            </w:pPr>
            <w:r>
              <w:t>47 858,90</w:t>
            </w:r>
          </w:p>
        </w:tc>
        <w:tc>
          <w:tcPr>
            <w:tcW w:w="992" w:type="dxa"/>
            <w:shd w:val="clear" w:color="auto" w:fill="auto"/>
            <w:vAlign w:val="center"/>
          </w:tcPr>
          <w:p>
            <w:pPr>
              <w:pStyle w:val="a5"/>
              <w:spacing w:after="0"/>
              <w:ind w:right="-57"/>
              <w:jc w:val="right"/>
            </w:pPr>
            <w:r>
              <w:t>49 623,26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pStyle w:val="a5"/>
              <w:spacing w:after="0"/>
              <w:ind w:right="-57"/>
              <w:jc w:val="right"/>
            </w:pPr>
            <w:r>
              <w:t>1 764,36</w:t>
            </w:r>
          </w:p>
        </w:tc>
        <w:tc>
          <w:tcPr>
            <w:tcW w:w="851" w:type="dxa"/>
            <w:shd w:val="clear" w:color="auto" w:fill="auto"/>
            <w:vAlign w:val="center"/>
          </w:tcPr>
          <w:p>
            <w:pPr>
              <w:pStyle w:val="a5"/>
              <w:spacing w:after="0"/>
              <w:ind w:left="-107" w:right="-108"/>
              <w:jc w:val="center"/>
            </w:pPr>
            <w:r>
              <w:t>103,7</w:t>
            </w:r>
          </w:p>
        </w:tc>
      </w:tr>
      <w:tr>
        <w:trPr>
          <w:trHeight w:val="979"/>
        </w:trPr>
        <w:tc>
          <w:tcPr>
            <w:tcW w:w="2802" w:type="dxa"/>
            <w:shd w:val="clear" w:color="auto" w:fill="auto"/>
          </w:tcPr>
          <w:p>
            <w:pPr>
              <w:pStyle w:val="a5"/>
              <w:spacing w:after="0"/>
            </w:pPr>
            <w:r>
              <w:t>Доходы, получаемые в виде арендной платы за земельные участки, государственная собственность на которые не разграничена</w:t>
            </w:r>
          </w:p>
        </w:tc>
        <w:tc>
          <w:tcPr>
            <w:tcW w:w="1275" w:type="dxa"/>
            <w:vAlign w:val="center"/>
          </w:tcPr>
          <w:p>
            <w:pPr>
              <w:jc w:val="right"/>
            </w:pPr>
            <w:r>
              <w:t>21 527,88</w:t>
            </w:r>
          </w:p>
        </w:tc>
        <w:tc>
          <w:tcPr>
            <w:tcW w:w="1276" w:type="dxa"/>
            <w:vAlign w:val="center"/>
          </w:tcPr>
          <w:p>
            <w:pPr>
              <w:ind w:right="-57"/>
              <w:jc w:val="center"/>
            </w:pPr>
            <w:r>
              <w:t>22 457,50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ind w:right="-57"/>
              <w:jc w:val="right"/>
            </w:pPr>
            <w:r>
              <w:t>21 757,50</w:t>
            </w:r>
          </w:p>
        </w:tc>
        <w:tc>
          <w:tcPr>
            <w:tcW w:w="992" w:type="dxa"/>
            <w:shd w:val="clear" w:color="auto" w:fill="auto"/>
            <w:vAlign w:val="center"/>
          </w:tcPr>
          <w:p>
            <w:pPr>
              <w:ind w:right="-57"/>
              <w:jc w:val="right"/>
            </w:pPr>
            <w:r>
              <w:t>22 943,56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ind w:right="-57"/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1 186,06</w:t>
            </w:r>
          </w:p>
        </w:tc>
        <w:tc>
          <w:tcPr>
            <w:tcW w:w="851" w:type="dxa"/>
            <w:shd w:val="clear" w:color="auto" w:fill="auto"/>
            <w:vAlign w:val="center"/>
          </w:tcPr>
          <w:p>
            <w:pPr>
              <w:ind w:left="-108" w:right="-108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105,5</w:t>
            </w:r>
          </w:p>
        </w:tc>
      </w:tr>
      <w:tr>
        <w:trPr>
          <w:trHeight w:val="826"/>
        </w:trPr>
        <w:tc>
          <w:tcPr>
            <w:tcW w:w="2802" w:type="dxa"/>
            <w:shd w:val="clear" w:color="auto" w:fill="auto"/>
          </w:tcPr>
          <w:p>
            <w:pPr>
              <w:pStyle w:val="a5"/>
              <w:spacing w:after="0"/>
            </w:pPr>
            <w:r>
              <w:t>Доходы, получаемые в виде арендной платы за земельные участки, находящиеся в собственности городских округов</w:t>
            </w:r>
          </w:p>
        </w:tc>
        <w:tc>
          <w:tcPr>
            <w:tcW w:w="1275" w:type="dxa"/>
            <w:vAlign w:val="center"/>
          </w:tcPr>
          <w:p>
            <w:pPr>
              <w:jc w:val="right"/>
            </w:pPr>
            <w:r>
              <w:t>26 996,62</w:t>
            </w:r>
          </w:p>
        </w:tc>
        <w:tc>
          <w:tcPr>
            <w:tcW w:w="1276" w:type="dxa"/>
            <w:vAlign w:val="center"/>
          </w:tcPr>
          <w:p>
            <w:pPr>
              <w:ind w:right="-57"/>
              <w:jc w:val="center"/>
            </w:pPr>
            <w:r>
              <w:t>25 001,40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ind w:right="-57"/>
              <w:jc w:val="right"/>
            </w:pPr>
            <w:r>
              <w:t>26 101,40</w:t>
            </w:r>
          </w:p>
        </w:tc>
        <w:tc>
          <w:tcPr>
            <w:tcW w:w="992" w:type="dxa"/>
            <w:shd w:val="clear" w:color="auto" w:fill="auto"/>
            <w:vAlign w:val="center"/>
          </w:tcPr>
          <w:p>
            <w:pPr>
              <w:ind w:right="-57"/>
              <w:jc w:val="right"/>
            </w:pPr>
            <w:r>
              <w:t>26 679,70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ind w:right="-57"/>
              <w:jc w:val="right"/>
            </w:pPr>
            <w:r>
              <w:t>578,30</w:t>
            </w:r>
          </w:p>
        </w:tc>
        <w:tc>
          <w:tcPr>
            <w:tcW w:w="851" w:type="dxa"/>
            <w:shd w:val="clear" w:color="auto" w:fill="auto"/>
            <w:vAlign w:val="center"/>
          </w:tcPr>
          <w:p>
            <w:pPr>
              <w:ind w:left="-108" w:right="-108"/>
              <w:jc w:val="center"/>
            </w:pPr>
            <w:r>
              <w:t>102,2</w:t>
            </w:r>
          </w:p>
        </w:tc>
      </w:tr>
    </w:tbl>
    <w:p>
      <w:pPr>
        <w:tabs>
          <w:tab w:val="left" w:pos="0"/>
        </w:tabs>
        <w:spacing w:before="12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Удельный вес статьи в общей структуре фактически поступивших доходов составляет 1,1%, налоговых и неналоговых доходах - 4,4%.</w:t>
      </w:r>
    </w:p>
    <w:p>
      <w:pPr>
        <w:tabs>
          <w:tab w:val="left" w:pos="0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Норматив зачисления в бюджет ЗАТО Северск 100%.</w:t>
      </w:r>
    </w:p>
    <w:p>
      <w:pPr>
        <w:pStyle w:val="af8"/>
        <w:tabs>
          <w:tab w:val="left" w:pos="993"/>
        </w:tabs>
        <w:ind w:left="0" w:firstLine="709"/>
        <w:jc w:val="both"/>
        <w:rPr>
          <w:color w:val="000000" w:themeColor="text1"/>
          <w:sz w:val="24"/>
          <w:szCs w:val="24"/>
          <w:highlight w:val="yellow"/>
        </w:rPr>
      </w:pPr>
      <w:r>
        <w:rPr>
          <w:color w:val="000000" w:themeColor="text1"/>
          <w:sz w:val="24"/>
          <w:szCs w:val="24"/>
        </w:rPr>
        <w:t>По сравнению с 2018 годом увеличение поступлений по статье составило                  1 098,76 тыс.руб. или на 2,3% за счет поступления авансовых платежей от аренды за земельные участки от ОАО «ТДСК», ООО «</w:t>
      </w:r>
      <w:proofErr w:type="spellStart"/>
      <w:r>
        <w:rPr>
          <w:color w:val="000000" w:themeColor="text1"/>
          <w:sz w:val="24"/>
          <w:szCs w:val="24"/>
        </w:rPr>
        <w:t>Мадео</w:t>
      </w:r>
      <w:proofErr w:type="spellEnd"/>
      <w:r>
        <w:rPr>
          <w:color w:val="000000" w:themeColor="text1"/>
          <w:sz w:val="24"/>
          <w:szCs w:val="24"/>
        </w:rPr>
        <w:t xml:space="preserve">», </w:t>
      </w:r>
      <w:proofErr w:type="spellStart"/>
      <w:r>
        <w:rPr>
          <w:color w:val="000000" w:themeColor="text1"/>
          <w:sz w:val="24"/>
          <w:szCs w:val="24"/>
        </w:rPr>
        <w:t>Калегова</w:t>
      </w:r>
      <w:proofErr w:type="spellEnd"/>
      <w:r>
        <w:rPr>
          <w:color w:val="000000" w:themeColor="text1"/>
          <w:sz w:val="24"/>
          <w:szCs w:val="24"/>
        </w:rPr>
        <w:t xml:space="preserve"> Н.Ф., частичной оплаты задолженности прошлых лет (Быкова Н.Б., Якубовский С.В., Никулин С.С.) и оплаты начисленной пени.</w:t>
      </w:r>
    </w:p>
    <w:p>
      <w:pPr>
        <w:pStyle w:val="a5"/>
        <w:spacing w:after="160"/>
        <w:jc w:val="center"/>
        <w:rPr>
          <w:b/>
          <w:i/>
          <w:sz w:val="10"/>
          <w:szCs w:val="10"/>
        </w:rPr>
      </w:pPr>
    </w:p>
    <w:p>
      <w:pPr>
        <w:pStyle w:val="a5"/>
        <w:spacing w:after="160"/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>3.2.1.3. Аренда помещений нежилого фонда</w:t>
      </w:r>
    </w:p>
    <w:p>
      <w:pPr>
        <w:spacing w:after="120" w:line="228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Прогноз поступлений по статье «Аренда помещений нежилого фонда» составлял 23 777,87 тыс.руб., фактическое исполнение – 24 342,77 тыс.руб., перевыполнение на 564,90 тыс.руб. или на 2,4% за счет поступления авансовых платежей за 1 квартал 2020 года и частичной оплаты задолженности прошлых лет.</w:t>
      </w:r>
    </w:p>
    <w:p>
      <w:pPr>
        <w:pStyle w:val="a5"/>
        <w:spacing w:before="120" w:after="6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Таблица 26. Анализ поступления доходов от аренды помещений нежилого фонда за 2018- 2019 гг.</w:t>
      </w:r>
    </w:p>
    <w:tbl>
      <w:tblPr>
        <w:tblW w:w="93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509"/>
        <w:gridCol w:w="1175"/>
        <w:gridCol w:w="1190"/>
        <w:gridCol w:w="1190"/>
        <w:gridCol w:w="1175"/>
        <w:gridCol w:w="1199"/>
        <w:gridCol w:w="874"/>
      </w:tblGrid>
      <w:tr>
        <w:trPr>
          <w:trHeight w:val="324"/>
          <w:jc w:val="center"/>
        </w:trPr>
        <w:tc>
          <w:tcPr>
            <w:tcW w:w="2509" w:type="dxa"/>
            <w:vMerge w:val="restart"/>
            <w:vAlign w:val="center"/>
          </w:tcPr>
          <w:p>
            <w:pPr>
              <w:pStyle w:val="a5"/>
              <w:ind w:right="-2"/>
              <w:jc w:val="center"/>
            </w:pPr>
            <w:r>
              <w:t xml:space="preserve">Наименование </w:t>
            </w:r>
          </w:p>
        </w:tc>
        <w:tc>
          <w:tcPr>
            <w:tcW w:w="1175" w:type="dxa"/>
            <w:vMerge w:val="restart"/>
            <w:vAlign w:val="center"/>
          </w:tcPr>
          <w:p>
            <w:pPr>
              <w:ind w:right="-57"/>
              <w:jc w:val="center"/>
              <w:rPr>
                <w:bCs/>
              </w:rPr>
            </w:pPr>
            <w:r>
              <w:rPr>
                <w:bCs/>
              </w:rPr>
              <w:t xml:space="preserve">Факт </w:t>
            </w:r>
          </w:p>
          <w:p>
            <w:pPr>
              <w:ind w:right="-57"/>
              <w:jc w:val="center"/>
              <w:rPr>
                <w:bCs/>
              </w:rPr>
            </w:pPr>
            <w:r>
              <w:rPr>
                <w:bCs/>
              </w:rPr>
              <w:t>2018 год, тыс.руб.</w:t>
            </w:r>
          </w:p>
        </w:tc>
        <w:tc>
          <w:tcPr>
            <w:tcW w:w="5628" w:type="dxa"/>
            <w:gridSpan w:val="5"/>
            <w:vAlign w:val="center"/>
          </w:tcPr>
          <w:p>
            <w:pPr>
              <w:ind w:left="-57" w:right="-57"/>
              <w:jc w:val="center"/>
            </w:pPr>
            <w:r>
              <w:t>2019 год</w:t>
            </w:r>
          </w:p>
        </w:tc>
      </w:tr>
      <w:tr>
        <w:trPr>
          <w:trHeight w:val="979"/>
          <w:jc w:val="center"/>
        </w:trPr>
        <w:tc>
          <w:tcPr>
            <w:tcW w:w="2509" w:type="dxa"/>
            <w:vMerge/>
            <w:vAlign w:val="center"/>
          </w:tcPr>
          <w:p>
            <w:pPr>
              <w:pStyle w:val="a5"/>
              <w:spacing w:after="0"/>
              <w:ind w:right="-2"/>
              <w:jc w:val="center"/>
              <w:rPr>
                <w:sz w:val="22"/>
                <w:szCs w:val="22"/>
              </w:rPr>
            </w:pPr>
          </w:p>
        </w:tc>
        <w:tc>
          <w:tcPr>
            <w:tcW w:w="1175" w:type="dxa"/>
            <w:vMerge/>
            <w:vAlign w:val="center"/>
          </w:tcPr>
          <w:p>
            <w:pPr>
              <w:ind w:left="-108" w:right="-108"/>
              <w:jc w:val="center"/>
            </w:pPr>
          </w:p>
        </w:tc>
        <w:tc>
          <w:tcPr>
            <w:tcW w:w="1190" w:type="dxa"/>
          </w:tcPr>
          <w:p>
            <w:pPr>
              <w:ind w:left="-158" w:right="-108"/>
              <w:jc w:val="center"/>
            </w:pPr>
            <w:proofErr w:type="spellStart"/>
            <w:r>
              <w:t>Первона-чальный</w:t>
            </w:r>
            <w:proofErr w:type="spellEnd"/>
            <w:r>
              <w:t xml:space="preserve"> прогноз, тыс</w:t>
            </w:r>
            <w:proofErr w:type="gramStart"/>
            <w:r>
              <w:t>.р</w:t>
            </w:r>
            <w:proofErr w:type="gramEnd"/>
            <w:r>
              <w:t>уб.</w:t>
            </w:r>
          </w:p>
        </w:tc>
        <w:tc>
          <w:tcPr>
            <w:tcW w:w="1190" w:type="dxa"/>
            <w:vAlign w:val="center"/>
          </w:tcPr>
          <w:p>
            <w:pPr>
              <w:ind w:left="-41" w:right="-108"/>
              <w:jc w:val="center"/>
            </w:pPr>
            <w:r>
              <w:t>Уточненный прогноз,</w:t>
            </w:r>
            <w:r>
              <w:br/>
              <w:t>тыс</w:t>
            </w:r>
            <w:proofErr w:type="gramStart"/>
            <w:r>
              <w:t>.р</w:t>
            </w:r>
            <w:proofErr w:type="gramEnd"/>
            <w:r>
              <w:t>уб.</w:t>
            </w:r>
          </w:p>
        </w:tc>
        <w:tc>
          <w:tcPr>
            <w:tcW w:w="1175" w:type="dxa"/>
            <w:vAlign w:val="center"/>
          </w:tcPr>
          <w:p>
            <w:pPr>
              <w:ind w:left="-108" w:right="-108"/>
              <w:jc w:val="center"/>
            </w:pPr>
            <w:r>
              <w:t xml:space="preserve">Факт, </w:t>
            </w:r>
            <w:r>
              <w:br/>
              <w:t>тыс.руб.</w:t>
            </w:r>
          </w:p>
        </w:tc>
        <w:tc>
          <w:tcPr>
            <w:tcW w:w="1199" w:type="dxa"/>
            <w:vAlign w:val="center"/>
          </w:tcPr>
          <w:p>
            <w:pPr>
              <w:pStyle w:val="a5"/>
              <w:tabs>
                <w:tab w:val="left" w:pos="-108"/>
                <w:tab w:val="left" w:pos="-77"/>
              </w:tabs>
              <w:spacing w:after="0"/>
              <w:ind w:left="-108" w:right="-108"/>
              <w:jc w:val="center"/>
            </w:pPr>
            <w:r>
              <w:t>Отклонение</w:t>
            </w:r>
          </w:p>
          <w:p>
            <w:pPr>
              <w:pStyle w:val="a5"/>
              <w:tabs>
                <w:tab w:val="left" w:pos="-108"/>
                <w:tab w:val="left" w:pos="-77"/>
              </w:tabs>
              <w:spacing w:after="0"/>
              <w:ind w:left="-108" w:right="-108"/>
              <w:jc w:val="center"/>
            </w:pPr>
            <w:r>
              <w:t>тыс.руб.</w:t>
            </w:r>
          </w:p>
        </w:tc>
        <w:tc>
          <w:tcPr>
            <w:tcW w:w="874" w:type="dxa"/>
            <w:vAlign w:val="center"/>
          </w:tcPr>
          <w:p>
            <w:pPr>
              <w:pStyle w:val="a5"/>
              <w:tabs>
                <w:tab w:val="left" w:pos="-192"/>
                <w:tab w:val="left" w:pos="-77"/>
              </w:tabs>
              <w:spacing w:after="0"/>
              <w:ind w:left="-108" w:right="-108"/>
              <w:jc w:val="center"/>
            </w:pPr>
            <w:r>
              <w:t>%</w:t>
            </w:r>
          </w:p>
          <w:p>
            <w:pPr>
              <w:pStyle w:val="a5"/>
              <w:tabs>
                <w:tab w:val="left" w:pos="-192"/>
                <w:tab w:val="left" w:pos="0"/>
              </w:tabs>
              <w:spacing w:after="0"/>
              <w:ind w:left="-108" w:right="-108"/>
              <w:jc w:val="center"/>
            </w:pPr>
            <w:proofErr w:type="spellStart"/>
            <w:proofErr w:type="gramStart"/>
            <w:r>
              <w:t>испол-нения</w:t>
            </w:r>
            <w:proofErr w:type="spellEnd"/>
            <w:proofErr w:type="gramEnd"/>
          </w:p>
        </w:tc>
      </w:tr>
      <w:tr>
        <w:trPr>
          <w:trHeight w:val="112"/>
          <w:jc w:val="center"/>
        </w:trPr>
        <w:tc>
          <w:tcPr>
            <w:tcW w:w="2509" w:type="dxa"/>
            <w:vAlign w:val="center"/>
          </w:tcPr>
          <w:p>
            <w:pPr>
              <w:pStyle w:val="a5"/>
              <w:tabs>
                <w:tab w:val="left" w:pos="3966"/>
              </w:tabs>
              <w:spacing w:after="0"/>
              <w:ind w:right="-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175" w:type="dxa"/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190" w:type="dxa"/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190" w:type="dxa"/>
            <w:shd w:val="clear" w:color="auto" w:fill="auto"/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199" w:type="dxa"/>
            <w:shd w:val="clear" w:color="auto" w:fill="auto"/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6=5-4</w:t>
            </w:r>
          </w:p>
        </w:tc>
        <w:tc>
          <w:tcPr>
            <w:tcW w:w="874" w:type="dxa"/>
            <w:shd w:val="clear" w:color="auto" w:fill="auto"/>
            <w:vAlign w:val="center"/>
          </w:tcPr>
          <w:p>
            <w:pPr>
              <w:pStyle w:val="a5"/>
              <w:spacing w:after="0"/>
              <w:ind w:left="-57" w:right="-5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7=5/4</w:t>
            </w:r>
          </w:p>
        </w:tc>
      </w:tr>
      <w:tr>
        <w:trPr>
          <w:trHeight w:val="556"/>
          <w:jc w:val="center"/>
        </w:trPr>
        <w:tc>
          <w:tcPr>
            <w:tcW w:w="2509" w:type="dxa"/>
            <w:vAlign w:val="center"/>
          </w:tcPr>
          <w:p>
            <w:pPr>
              <w:pStyle w:val="a5"/>
              <w:tabs>
                <w:tab w:val="left" w:pos="3966"/>
              </w:tabs>
              <w:spacing w:after="0"/>
              <w:ind w:right="-120"/>
            </w:pPr>
            <w:r>
              <w:t xml:space="preserve">Аренда нежилых помещений </w:t>
            </w:r>
          </w:p>
        </w:tc>
        <w:tc>
          <w:tcPr>
            <w:tcW w:w="1175" w:type="dxa"/>
            <w:vAlign w:val="center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24 723,49</w:t>
            </w:r>
          </w:p>
        </w:tc>
        <w:tc>
          <w:tcPr>
            <w:tcW w:w="1190" w:type="dxa"/>
            <w:vAlign w:val="center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23 777,87</w:t>
            </w:r>
          </w:p>
        </w:tc>
        <w:tc>
          <w:tcPr>
            <w:tcW w:w="1190" w:type="dxa"/>
            <w:shd w:val="clear" w:color="auto" w:fill="auto"/>
            <w:vAlign w:val="center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23 777,87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24 342,77</w:t>
            </w:r>
          </w:p>
        </w:tc>
        <w:tc>
          <w:tcPr>
            <w:tcW w:w="1199" w:type="dxa"/>
            <w:shd w:val="clear" w:color="auto" w:fill="auto"/>
            <w:vAlign w:val="center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564,90</w:t>
            </w:r>
          </w:p>
        </w:tc>
        <w:tc>
          <w:tcPr>
            <w:tcW w:w="874" w:type="dxa"/>
            <w:shd w:val="clear" w:color="auto" w:fill="auto"/>
            <w:vAlign w:val="center"/>
          </w:tcPr>
          <w:p>
            <w:pPr>
              <w:pStyle w:val="a5"/>
              <w:spacing w:after="0"/>
              <w:ind w:left="-57" w:right="-57"/>
              <w:jc w:val="center"/>
            </w:pPr>
            <w:r>
              <w:t>102,4</w:t>
            </w:r>
          </w:p>
        </w:tc>
      </w:tr>
    </w:tbl>
    <w:p>
      <w:pPr>
        <w:spacing w:before="160" w:line="228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Удельный вес статьи в общей структуре фактически поступивших доходов составляет 0,5%, налоговых и неналоговых доходах - 2,2%.</w:t>
      </w:r>
    </w:p>
    <w:p>
      <w:pPr>
        <w:tabs>
          <w:tab w:val="left" w:pos="0"/>
        </w:tabs>
        <w:spacing w:line="228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Норматив зачисления в бюджет ЗАТО Северск 100%.</w:t>
      </w:r>
    </w:p>
    <w:p>
      <w:pPr>
        <w:spacing w:line="228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 сравнению с 2018 годом снижение поступлений по статье составило 380,72 тыс.руб. или на 1,5% за счет сокращения размера высокодоходных арендуемых площадей в связи с приватизацией в 2019 году муниципального имущества и расторжением договоров аренды. Облагаемая база нежилого фонда увеличилась на 631,01 кв.м. за счет приобретения в муниципальную собственность бани в пос. Самусь площадью 427,7 кв.м. и сдачи в аренду помещения, расположенного по ул. Калинина, 123 площадью 642,5 кв.м. </w:t>
      </w:r>
    </w:p>
    <w:p>
      <w:pPr>
        <w:pStyle w:val="a5"/>
        <w:spacing w:after="0"/>
        <w:jc w:val="center"/>
        <w:rPr>
          <w:b/>
          <w:i/>
          <w:sz w:val="24"/>
          <w:szCs w:val="24"/>
        </w:rPr>
      </w:pPr>
    </w:p>
    <w:p>
      <w:pPr>
        <w:pStyle w:val="a5"/>
        <w:spacing w:after="160"/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3.2.1.4. Аренда сетей инженерно-технического обеспечения</w:t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Прогноз поступлений по статье «Аренда сетей инженерно-технического обеспечения» составлял 1 025,15 тыс.руб., фактическое исполнение – 1 116,22 тыс.руб., перевыполнение на 91,07 тыс.руб. или на 8,9% за счет поступлений авансовых платежей от ООО «Тепло плюс».</w:t>
      </w:r>
    </w:p>
    <w:p>
      <w:pPr>
        <w:pStyle w:val="a5"/>
        <w:spacing w:before="120" w:after="6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Таблица 27. Анализ поступления доходов от аренды инженерных сетей                             за 2018 - 2019 гг.</w:t>
      </w:r>
    </w:p>
    <w:tbl>
      <w:tblPr>
        <w:tblW w:w="926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33"/>
        <w:gridCol w:w="1134"/>
        <w:gridCol w:w="1134"/>
        <w:gridCol w:w="1134"/>
        <w:gridCol w:w="992"/>
        <w:gridCol w:w="1111"/>
        <w:gridCol w:w="828"/>
      </w:tblGrid>
      <w:tr>
        <w:trPr>
          <w:trHeight w:val="316"/>
          <w:jc w:val="center"/>
        </w:trPr>
        <w:tc>
          <w:tcPr>
            <w:tcW w:w="2933" w:type="dxa"/>
            <w:vMerge w:val="restart"/>
            <w:vAlign w:val="center"/>
          </w:tcPr>
          <w:p>
            <w:pPr>
              <w:pStyle w:val="a5"/>
              <w:ind w:right="-2"/>
              <w:jc w:val="center"/>
            </w:pPr>
            <w:r>
              <w:t xml:space="preserve">Наименование </w:t>
            </w:r>
          </w:p>
        </w:tc>
        <w:tc>
          <w:tcPr>
            <w:tcW w:w="1134" w:type="dxa"/>
            <w:vMerge w:val="restart"/>
            <w:vAlign w:val="center"/>
          </w:tcPr>
          <w:p>
            <w:pPr>
              <w:ind w:right="-57"/>
              <w:jc w:val="center"/>
              <w:rPr>
                <w:bCs/>
              </w:rPr>
            </w:pPr>
            <w:r>
              <w:rPr>
                <w:bCs/>
              </w:rPr>
              <w:t xml:space="preserve">Факт </w:t>
            </w:r>
          </w:p>
          <w:p>
            <w:pPr>
              <w:ind w:left="-108" w:right="-108"/>
              <w:jc w:val="center"/>
            </w:pPr>
            <w:r>
              <w:rPr>
                <w:bCs/>
              </w:rPr>
              <w:t>2018 год, тыс.руб.</w:t>
            </w:r>
          </w:p>
        </w:tc>
        <w:tc>
          <w:tcPr>
            <w:tcW w:w="5199" w:type="dxa"/>
            <w:gridSpan w:val="5"/>
            <w:vAlign w:val="center"/>
          </w:tcPr>
          <w:p>
            <w:pPr>
              <w:pStyle w:val="a5"/>
              <w:spacing w:after="0"/>
              <w:ind w:left="-57" w:right="-57"/>
              <w:jc w:val="center"/>
            </w:pPr>
            <w:r>
              <w:t>2019 год</w:t>
            </w:r>
          </w:p>
        </w:tc>
      </w:tr>
      <w:tr>
        <w:trPr>
          <w:trHeight w:val="942"/>
          <w:jc w:val="center"/>
        </w:trPr>
        <w:tc>
          <w:tcPr>
            <w:tcW w:w="2933" w:type="dxa"/>
            <w:vMerge/>
            <w:vAlign w:val="center"/>
          </w:tcPr>
          <w:p>
            <w:pPr>
              <w:pStyle w:val="a5"/>
              <w:spacing w:after="0"/>
              <w:ind w:right="-2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>
            <w:pPr>
              <w:ind w:left="-108" w:right="-108"/>
              <w:jc w:val="center"/>
            </w:pPr>
          </w:p>
        </w:tc>
        <w:tc>
          <w:tcPr>
            <w:tcW w:w="1134" w:type="dxa"/>
          </w:tcPr>
          <w:p>
            <w:pPr>
              <w:ind w:left="-158" w:right="-108"/>
              <w:jc w:val="center"/>
            </w:pPr>
            <w:proofErr w:type="spellStart"/>
            <w:r>
              <w:t>Первона-чальный</w:t>
            </w:r>
            <w:proofErr w:type="spellEnd"/>
            <w:r>
              <w:t xml:space="preserve"> прогноз, тыс</w:t>
            </w:r>
            <w:proofErr w:type="gramStart"/>
            <w:r>
              <w:t>.р</w:t>
            </w:r>
            <w:proofErr w:type="gramEnd"/>
            <w:r>
              <w:t>уб.</w:t>
            </w:r>
          </w:p>
        </w:tc>
        <w:tc>
          <w:tcPr>
            <w:tcW w:w="1134" w:type="dxa"/>
            <w:vAlign w:val="center"/>
          </w:tcPr>
          <w:p>
            <w:pPr>
              <w:ind w:left="-158" w:right="-108"/>
              <w:jc w:val="center"/>
            </w:pPr>
            <w:r>
              <w:t>Уточненный прогноз,</w:t>
            </w:r>
            <w:r>
              <w:br/>
              <w:t>тыс</w:t>
            </w:r>
            <w:proofErr w:type="gramStart"/>
            <w:r>
              <w:t>.р</w:t>
            </w:r>
            <w:proofErr w:type="gramEnd"/>
            <w:r>
              <w:t>уб.</w:t>
            </w:r>
          </w:p>
        </w:tc>
        <w:tc>
          <w:tcPr>
            <w:tcW w:w="992" w:type="dxa"/>
            <w:vAlign w:val="center"/>
          </w:tcPr>
          <w:p>
            <w:pPr>
              <w:ind w:left="-108" w:right="-108"/>
              <w:jc w:val="center"/>
            </w:pPr>
            <w:r>
              <w:t xml:space="preserve">Факт, </w:t>
            </w:r>
            <w:r>
              <w:br/>
              <w:t>тыс.руб.</w:t>
            </w:r>
          </w:p>
        </w:tc>
        <w:tc>
          <w:tcPr>
            <w:tcW w:w="1111" w:type="dxa"/>
            <w:vAlign w:val="center"/>
          </w:tcPr>
          <w:p>
            <w:pPr>
              <w:pStyle w:val="a5"/>
              <w:tabs>
                <w:tab w:val="left" w:pos="-108"/>
                <w:tab w:val="left" w:pos="-77"/>
              </w:tabs>
              <w:spacing w:after="0"/>
              <w:ind w:left="-108" w:right="-108"/>
              <w:jc w:val="center"/>
            </w:pPr>
            <w:r>
              <w:t>Отклонение</w:t>
            </w:r>
          </w:p>
          <w:p>
            <w:pPr>
              <w:pStyle w:val="a5"/>
              <w:tabs>
                <w:tab w:val="left" w:pos="-108"/>
                <w:tab w:val="left" w:pos="-77"/>
              </w:tabs>
              <w:spacing w:after="0"/>
              <w:ind w:left="-108" w:right="-108"/>
              <w:jc w:val="center"/>
            </w:pPr>
            <w:r>
              <w:t>тыс.руб.</w:t>
            </w:r>
          </w:p>
        </w:tc>
        <w:tc>
          <w:tcPr>
            <w:tcW w:w="828" w:type="dxa"/>
            <w:vAlign w:val="center"/>
          </w:tcPr>
          <w:p>
            <w:pPr>
              <w:pStyle w:val="a5"/>
              <w:tabs>
                <w:tab w:val="left" w:pos="-192"/>
                <w:tab w:val="left" w:pos="-77"/>
              </w:tabs>
              <w:spacing w:after="0"/>
              <w:ind w:left="-108" w:right="-108"/>
              <w:jc w:val="center"/>
            </w:pPr>
            <w:r>
              <w:t>%</w:t>
            </w:r>
          </w:p>
          <w:p>
            <w:pPr>
              <w:pStyle w:val="a5"/>
              <w:tabs>
                <w:tab w:val="left" w:pos="-192"/>
                <w:tab w:val="left" w:pos="0"/>
              </w:tabs>
              <w:spacing w:after="0"/>
              <w:ind w:left="-108" w:right="-108"/>
              <w:jc w:val="center"/>
            </w:pPr>
            <w:proofErr w:type="spellStart"/>
            <w:proofErr w:type="gramStart"/>
            <w:r>
              <w:t>испол-нения</w:t>
            </w:r>
            <w:proofErr w:type="spellEnd"/>
            <w:proofErr w:type="gramEnd"/>
          </w:p>
        </w:tc>
      </w:tr>
      <w:tr>
        <w:trPr>
          <w:trHeight w:val="157"/>
          <w:jc w:val="center"/>
        </w:trPr>
        <w:tc>
          <w:tcPr>
            <w:tcW w:w="2933" w:type="dxa"/>
            <w:vAlign w:val="center"/>
          </w:tcPr>
          <w:p>
            <w:pPr>
              <w:pStyle w:val="a5"/>
              <w:tabs>
                <w:tab w:val="left" w:pos="3966"/>
              </w:tabs>
              <w:spacing w:after="0"/>
              <w:ind w:right="-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111" w:type="dxa"/>
            <w:shd w:val="clear" w:color="auto" w:fill="auto"/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6=5-4</w:t>
            </w:r>
          </w:p>
        </w:tc>
        <w:tc>
          <w:tcPr>
            <w:tcW w:w="828" w:type="dxa"/>
            <w:shd w:val="clear" w:color="auto" w:fill="auto"/>
            <w:vAlign w:val="center"/>
          </w:tcPr>
          <w:p>
            <w:pPr>
              <w:pStyle w:val="a5"/>
              <w:spacing w:after="0"/>
              <w:ind w:left="-57" w:right="-5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7=5/4</w:t>
            </w:r>
          </w:p>
        </w:tc>
      </w:tr>
      <w:tr>
        <w:trPr>
          <w:trHeight w:val="444"/>
          <w:jc w:val="center"/>
        </w:trPr>
        <w:tc>
          <w:tcPr>
            <w:tcW w:w="2933" w:type="dxa"/>
            <w:vAlign w:val="center"/>
          </w:tcPr>
          <w:p>
            <w:pPr>
              <w:pStyle w:val="a5"/>
              <w:tabs>
                <w:tab w:val="left" w:pos="3966"/>
              </w:tabs>
              <w:spacing w:after="0"/>
              <w:ind w:right="-120"/>
            </w:pPr>
            <w:r>
              <w:t xml:space="preserve">Аренда инженерных сетей </w:t>
            </w:r>
          </w:p>
        </w:tc>
        <w:tc>
          <w:tcPr>
            <w:tcW w:w="1134" w:type="dxa"/>
            <w:vAlign w:val="center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1 182,59</w:t>
            </w:r>
          </w:p>
        </w:tc>
        <w:tc>
          <w:tcPr>
            <w:tcW w:w="1134" w:type="dxa"/>
            <w:vAlign w:val="center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1 025,15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1 025,15</w:t>
            </w:r>
          </w:p>
        </w:tc>
        <w:tc>
          <w:tcPr>
            <w:tcW w:w="992" w:type="dxa"/>
            <w:shd w:val="clear" w:color="auto" w:fill="auto"/>
            <w:vAlign w:val="center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1 116,22</w:t>
            </w:r>
          </w:p>
        </w:tc>
        <w:tc>
          <w:tcPr>
            <w:tcW w:w="1111" w:type="dxa"/>
            <w:shd w:val="clear" w:color="auto" w:fill="auto"/>
            <w:vAlign w:val="center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91,07</w:t>
            </w:r>
          </w:p>
        </w:tc>
        <w:tc>
          <w:tcPr>
            <w:tcW w:w="828" w:type="dxa"/>
            <w:shd w:val="clear" w:color="auto" w:fill="auto"/>
            <w:vAlign w:val="center"/>
          </w:tcPr>
          <w:p>
            <w:pPr>
              <w:pStyle w:val="a5"/>
              <w:spacing w:after="0"/>
              <w:ind w:left="-57" w:right="-57"/>
              <w:jc w:val="center"/>
            </w:pPr>
            <w:r>
              <w:t>108,9</w:t>
            </w:r>
          </w:p>
        </w:tc>
      </w:tr>
    </w:tbl>
    <w:p>
      <w:pPr>
        <w:pStyle w:val="a5"/>
        <w:spacing w:before="160" w:after="0" w:line="228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Удельный вес статьи в общей структуре фактически поступивших доходов составляет 0,02%, налоговых и неналоговых доходах - 0,1%.</w:t>
      </w:r>
    </w:p>
    <w:p>
      <w:pPr>
        <w:spacing w:line="228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 сравнению с 2018 годом уменьшение поступлений по статье составило 66,37 тыс.руб. или на 5,6%. </w:t>
      </w:r>
    </w:p>
    <w:p>
      <w:pPr>
        <w:ind w:firstLine="709"/>
        <w:jc w:val="both"/>
        <w:rPr>
          <w:sz w:val="24"/>
          <w:szCs w:val="24"/>
          <w:highlight w:val="yellow"/>
        </w:rPr>
      </w:pPr>
    </w:p>
    <w:p>
      <w:pPr>
        <w:pStyle w:val="a5"/>
        <w:tabs>
          <w:tab w:val="num" w:pos="0"/>
        </w:tabs>
        <w:spacing w:after="160"/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3.2.1.5. Плата за наем жилых помещений</w:t>
      </w:r>
    </w:p>
    <w:p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Прогноз поступлений по статье «Плата за наем жилых помещений» составлял 7 322,30 тыс.руб., фактическое исполнение – 7 546,23 тыс.руб., перевыполнение к плану на 223,93 тыс.руб.</w:t>
      </w:r>
    </w:p>
    <w:p>
      <w:pPr>
        <w:pStyle w:val="a5"/>
        <w:spacing w:before="120" w:after="60"/>
        <w:ind w:firstLine="709"/>
        <w:jc w:val="both"/>
        <w:rPr>
          <w:sz w:val="24"/>
          <w:szCs w:val="24"/>
        </w:rPr>
      </w:pPr>
    </w:p>
    <w:p>
      <w:pPr>
        <w:pStyle w:val="a5"/>
        <w:spacing w:before="60" w:after="6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Таблица 28. Анализ поступления доходов от платы за наем жилых помещений                                   за 2018- 2019 гг.</w:t>
      </w:r>
    </w:p>
    <w:tbl>
      <w:tblPr>
        <w:tblW w:w="926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33"/>
        <w:gridCol w:w="1134"/>
        <w:gridCol w:w="1134"/>
        <w:gridCol w:w="1134"/>
        <w:gridCol w:w="992"/>
        <w:gridCol w:w="1111"/>
        <w:gridCol w:w="828"/>
      </w:tblGrid>
      <w:tr>
        <w:trPr>
          <w:trHeight w:val="205"/>
          <w:jc w:val="center"/>
        </w:trPr>
        <w:tc>
          <w:tcPr>
            <w:tcW w:w="2933" w:type="dxa"/>
            <w:vMerge w:val="restart"/>
            <w:vAlign w:val="center"/>
          </w:tcPr>
          <w:p>
            <w:pPr>
              <w:pStyle w:val="a5"/>
              <w:ind w:right="-2"/>
              <w:jc w:val="center"/>
            </w:pPr>
            <w:r>
              <w:t>Наименование</w:t>
            </w:r>
          </w:p>
        </w:tc>
        <w:tc>
          <w:tcPr>
            <w:tcW w:w="1134" w:type="dxa"/>
            <w:vMerge w:val="restart"/>
          </w:tcPr>
          <w:p>
            <w:pPr>
              <w:ind w:left="-108" w:right="-108"/>
              <w:jc w:val="center"/>
            </w:pPr>
          </w:p>
          <w:p>
            <w:pPr>
              <w:ind w:right="-57"/>
              <w:jc w:val="center"/>
              <w:rPr>
                <w:bCs/>
              </w:rPr>
            </w:pPr>
            <w:r>
              <w:rPr>
                <w:bCs/>
              </w:rPr>
              <w:t>Факт</w:t>
            </w:r>
          </w:p>
          <w:p>
            <w:pPr>
              <w:ind w:left="-108" w:right="-108"/>
              <w:jc w:val="center"/>
            </w:pPr>
            <w:r>
              <w:rPr>
                <w:bCs/>
              </w:rPr>
              <w:t>2018 год, тыс.руб.</w:t>
            </w:r>
          </w:p>
        </w:tc>
        <w:tc>
          <w:tcPr>
            <w:tcW w:w="5199" w:type="dxa"/>
            <w:gridSpan w:val="5"/>
            <w:vAlign w:val="center"/>
          </w:tcPr>
          <w:p>
            <w:pPr>
              <w:pStyle w:val="a5"/>
              <w:spacing w:after="0"/>
              <w:ind w:left="-57" w:right="-57"/>
              <w:jc w:val="center"/>
            </w:pPr>
            <w:r>
              <w:t>2019 год</w:t>
            </w:r>
          </w:p>
        </w:tc>
      </w:tr>
      <w:tr>
        <w:trPr>
          <w:trHeight w:val="844"/>
          <w:jc w:val="center"/>
        </w:trPr>
        <w:tc>
          <w:tcPr>
            <w:tcW w:w="2933" w:type="dxa"/>
            <w:vMerge/>
            <w:vAlign w:val="center"/>
          </w:tcPr>
          <w:p>
            <w:pPr>
              <w:pStyle w:val="a5"/>
              <w:spacing w:after="0"/>
              <w:ind w:right="-2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>
            <w:pPr>
              <w:ind w:left="-108" w:right="-108"/>
              <w:jc w:val="center"/>
            </w:pPr>
          </w:p>
        </w:tc>
        <w:tc>
          <w:tcPr>
            <w:tcW w:w="1134" w:type="dxa"/>
          </w:tcPr>
          <w:p>
            <w:pPr>
              <w:ind w:left="-158" w:right="-108"/>
              <w:jc w:val="center"/>
            </w:pPr>
            <w:proofErr w:type="spellStart"/>
            <w:r>
              <w:t>Первона-чальный</w:t>
            </w:r>
            <w:proofErr w:type="spellEnd"/>
            <w:r>
              <w:t xml:space="preserve"> прогноз, тыс</w:t>
            </w:r>
            <w:proofErr w:type="gramStart"/>
            <w:r>
              <w:t>.р</w:t>
            </w:r>
            <w:proofErr w:type="gramEnd"/>
            <w:r>
              <w:t>уб.</w:t>
            </w:r>
          </w:p>
        </w:tc>
        <w:tc>
          <w:tcPr>
            <w:tcW w:w="1134" w:type="dxa"/>
            <w:vAlign w:val="center"/>
          </w:tcPr>
          <w:p>
            <w:pPr>
              <w:ind w:left="-158" w:right="-108"/>
              <w:jc w:val="center"/>
            </w:pPr>
            <w:r>
              <w:t>Уточненный прогноз,</w:t>
            </w:r>
            <w:r>
              <w:br/>
              <w:t>тыс</w:t>
            </w:r>
            <w:proofErr w:type="gramStart"/>
            <w:r>
              <w:t>.р</w:t>
            </w:r>
            <w:proofErr w:type="gramEnd"/>
            <w:r>
              <w:t>уб.</w:t>
            </w:r>
          </w:p>
        </w:tc>
        <w:tc>
          <w:tcPr>
            <w:tcW w:w="992" w:type="dxa"/>
            <w:vAlign w:val="center"/>
          </w:tcPr>
          <w:p>
            <w:pPr>
              <w:ind w:left="-108" w:right="-108"/>
              <w:jc w:val="center"/>
            </w:pPr>
            <w:r>
              <w:t xml:space="preserve">Факт, </w:t>
            </w:r>
            <w:r>
              <w:br/>
              <w:t>тыс.руб.</w:t>
            </w:r>
          </w:p>
        </w:tc>
        <w:tc>
          <w:tcPr>
            <w:tcW w:w="1111" w:type="dxa"/>
            <w:vAlign w:val="center"/>
          </w:tcPr>
          <w:p>
            <w:pPr>
              <w:pStyle w:val="a5"/>
              <w:tabs>
                <w:tab w:val="left" w:pos="-108"/>
                <w:tab w:val="left" w:pos="-77"/>
              </w:tabs>
              <w:spacing w:after="0"/>
              <w:ind w:left="-108" w:right="-108"/>
              <w:jc w:val="center"/>
            </w:pPr>
            <w:r>
              <w:t>Отклонение</w:t>
            </w:r>
          </w:p>
          <w:p>
            <w:pPr>
              <w:pStyle w:val="a5"/>
              <w:tabs>
                <w:tab w:val="left" w:pos="-108"/>
                <w:tab w:val="left" w:pos="-77"/>
              </w:tabs>
              <w:spacing w:after="0"/>
              <w:ind w:left="-108" w:right="-108"/>
              <w:jc w:val="center"/>
            </w:pPr>
            <w:r>
              <w:t>тыс.руб.</w:t>
            </w:r>
          </w:p>
        </w:tc>
        <w:tc>
          <w:tcPr>
            <w:tcW w:w="828" w:type="dxa"/>
            <w:vAlign w:val="center"/>
          </w:tcPr>
          <w:p>
            <w:pPr>
              <w:pStyle w:val="a5"/>
              <w:tabs>
                <w:tab w:val="left" w:pos="-192"/>
                <w:tab w:val="left" w:pos="-77"/>
              </w:tabs>
              <w:spacing w:after="0"/>
              <w:ind w:left="-108" w:right="-108"/>
              <w:jc w:val="center"/>
            </w:pPr>
            <w:r>
              <w:t>%</w:t>
            </w:r>
          </w:p>
          <w:p>
            <w:pPr>
              <w:pStyle w:val="a5"/>
              <w:tabs>
                <w:tab w:val="left" w:pos="-192"/>
                <w:tab w:val="left" w:pos="0"/>
              </w:tabs>
              <w:spacing w:after="0"/>
              <w:ind w:left="-108" w:right="-108"/>
              <w:jc w:val="center"/>
            </w:pPr>
            <w:proofErr w:type="spellStart"/>
            <w:proofErr w:type="gramStart"/>
            <w:r>
              <w:t>испол-нения</w:t>
            </w:r>
            <w:proofErr w:type="spellEnd"/>
            <w:proofErr w:type="gramEnd"/>
          </w:p>
        </w:tc>
      </w:tr>
      <w:tr>
        <w:trPr>
          <w:trHeight w:val="129"/>
          <w:jc w:val="center"/>
        </w:trPr>
        <w:tc>
          <w:tcPr>
            <w:tcW w:w="2933" w:type="dxa"/>
            <w:vAlign w:val="center"/>
          </w:tcPr>
          <w:p>
            <w:pPr>
              <w:pStyle w:val="a5"/>
              <w:tabs>
                <w:tab w:val="left" w:pos="3966"/>
              </w:tabs>
              <w:spacing w:after="0"/>
              <w:ind w:right="-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111" w:type="dxa"/>
            <w:shd w:val="clear" w:color="auto" w:fill="auto"/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6=5-4</w:t>
            </w:r>
          </w:p>
        </w:tc>
        <w:tc>
          <w:tcPr>
            <w:tcW w:w="828" w:type="dxa"/>
            <w:shd w:val="clear" w:color="auto" w:fill="auto"/>
            <w:vAlign w:val="center"/>
          </w:tcPr>
          <w:p>
            <w:pPr>
              <w:pStyle w:val="a5"/>
              <w:spacing w:after="0"/>
              <w:ind w:left="-57" w:right="-5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7=5/4</w:t>
            </w:r>
          </w:p>
        </w:tc>
      </w:tr>
      <w:tr>
        <w:trPr>
          <w:trHeight w:val="274"/>
          <w:jc w:val="center"/>
        </w:trPr>
        <w:tc>
          <w:tcPr>
            <w:tcW w:w="2933" w:type="dxa"/>
            <w:vAlign w:val="center"/>
          </w:tcPr>
          <w:p>
            <w:pPr>
              <w:pStyle w:val="a5"/>
              <w:tabs>
                <w:tab w:val="left" w:pos="3966"/>
              </w:tabs>
              <w:spacing w:after="0"/>
              <w:ind w:right="-119"/>
            </w:pPr>
            <w:r>
              <w:t>Плата за наем жилых помещений</w:t>
            </w:r>
          </w:p>
        </w:tc>
        <w:tc>
          <w:tcPr>
            <w:tcW w:w="1134" w:type="dxa"/>
            <w:vAlign w:val="center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7 391,10</w:t>
            </w:r>
          </w:p>
        </w:tc>
        <w:tc>
          <w:tcPr>
            <w:tcW w:w="1134" w:type="dxa"/>
            <w:vAlign w:val="center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7 322,30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7 322,30</w:t>
            </w:r>
          </w:p>
        </w:tc>
        <w:tc>
          <w:tcPr>
            <w:tcW w:w="992" w:type="dxa"/>
            <w:shd w:val="clear" w:color="auto" w:fill="auto"/>
            <w:vAlign w:val="center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7 546,23</w:t>
            </w:r>
          </w:p>
        </w:tc>
        <w:tc>
          <w:tcPr>
            <w:tcW w:w="1111" w:type="dxa"/>
            <w:shd w:val="clear" w:color="auto" w:fill="auto"/>
            <w:vAlign w:val="center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223,93</w:t>
            </w:r>
          </w:p>
        </w:tc>
        <w:tc>
          <w:tcPr>
            <w:tcW w:w="828" w:type="dxa"/>
            <w:shd w:val="clear" w:color="auto" w:fill="auto"/>
            <w:vAlign w:val="center"/>
          </w:tcPr>
          <w:p>
            <w:pPr>
              <w:pStyle w:val="a5"/>
              <w:spacing w:after="0"/>
              <w:ind w:left="-57" w:right="-57"/>
              <w:jc w:val="center"/>
            </w:pPr>
            <w:r>
              <w:t>103,1</w:t>
            </w:r>
          </w:p>
        </w:tc>
      </w:tr>
    </w:tbl>
    <w:p>
      <w:pPr>
        <w:pStyle w:val="a5"/>
        <w:spacing w:before="80" w:after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Удельный вес в общей структуре фактически поступивших доходов составляет 0,2%, налоговых и неналоговых доходах - 0,7%.</w:t>
      </w:r>
    </w:p>
    <w:p>
      <w:pPr>
        <w:tabs>
          <w:tab w:val="left" w:pos="0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Норматив зачисления в бюджет ЗАТО Северск 100%.</w:t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Муниципальный жилищный фонд по состоянию на 01.01.2019 составлял 132,95 тыс.м</w:t>
      </w:r>
      <w:r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>, на 01.01.2020 – 128,54 тыс.м</w:t>
      </w:r>
      <w:r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>.</w:t>
      </w:r>
    </w:p>
    <w:p>
      <w:pPr>
        <w:ind w:firstLine="709"/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По сравнению с 2018 годом увеличение поступлений по статье составило 155,13 тыс.руб. или на 2,1%, что </w:t>
      </w:r>
      <w:r>
        <w:rPr>
          <w:color w:val="000000" w:themeColor="text1"/>
          <w:sz w:val="24"/>
          <w:szCs w:val="24"/>
        </w:rPr>
        <w:t>обусловлено положительной динамикой платежной дисциплины нанимателей (уровень собираемости платы в 2019 году составил 92%, в 2018 году – 87,7%).</w:t>
      </w:r>
    </w:p>
    <w:p>
      <w:pPr>
        <w:pStyle w:val="a5"/>
        <w:spacing w:after="0"/>
        <w:ind w:firstLine="709"/>
        <w:jc w:val="both"/>
        <w:rPr>
          <w:color w:val="000000" w:themeColor="text1"/>
          <w:sz w:val="24"/>
          <w:szCs w:val="24"/>
        </w:rPr>
      </w:pPr>
      <w:r>
        <w:rPr>
          <w:sz w:val="24"/>
          <w:szCs w:val="24"/>
        </w:rPr>
        <w:t xml:space="preserve">Задолженность по плате за наем жилых помещений в 2019 году по сравнению с 2018 годом увеличилась на 1 037,29 тыс.руб. (на 01.01.2019 – 6 475,21 тыс.руб., на 01.01.2020 – 7 133,02 тыс.руб.). </w:t>
      </w:r>
    </w:p>
    <w:p>
      <w:pPr>
        <w:pStyle w:val="a5"/>
        <w:spacing w:after="0"/>
        <w:jc w:val="center"/>
        <w:rPr>
          <w:sz w:val="18"/>
          <w:szCs w:val="18"/>
        </w:rPr>
      </w:pPr>
    </w:p>
    <w:p>
      <w:pPr>
        <w:pStyle w:val="a5"/>
        <w:spacing w:after="80"/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3.2.1.6. Аренда движимого имущества</w:t>
      </w:r>
    </w:p>
    <w:p>
      <w:pPr>
        <w:pStyle w:val="a5"/>
        <w:spacing w:after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Прогноз поступлений по статье «Аренда движимого имущества» составлял 1 850,04 тыс.руб., фактическое исполнение – 1 850,79 тыс.руб., перевыполнение на 0,75 тыс.руб. или 100%.</w:t>
      </w:r>
    </w:p>
    <w:p>
      <w:pPr>
        <w:pStyle w:val="a5"/>
        <w:spacing w:before="60" w:after="6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Таблица 29. Анализ поступления доходов от аренды движимого имущества                                     за 2018 - 2019 гг.</w:t>
      </w:r>
    </w:p>
    <w:tbl>
      <w:tblPr>
        <w:tblW w:w="93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87"/>
        <w:gridCol w:w="1134"/>
        <w:gridCol w:w="1134"/>
        <w:gridCol w:w="1134"/>
        <w:gridCol w:w="992"/>
        <w:gridCol w:w="1157"/>
        <w:gridCol w:w="874"/>
      </w:tblGrid>
      <w:tr>
        <w:trPr>
          <w:trHeight w:val="187"/>
          <w:jc w:val="center"/>
        </w:trPr>
        <w:tc>
          <w:tcPr>
            <w:tcW w:w="2887" w:type="dxa"/>
            <w:vMerge w:val="restart"/>
            <w:vAlign w:val="center"/>
          </w:tcPr>
          <w:p>
            <w:pPr>
              <w:pStyle w:val="a5"/>
              <w:ind w:right="-2"/>
              <w:jc w:val="center"/>
            </w:pPr>
            <w:r>
              <w:t xml:space="preserve">Наименование </w:t>
            </w:r>
          </w:p>
        </w:tc>
        <w:tc>
          <w:tcPr>
            <w:tcW w:w="1134" w:type="dxa"/>
            <w:vMerge w:val="restart"/>
          </w:tcPr>
          <w:p>
            <w:pPr>
              <w:ind w:left="-108" w:right="-108"/>
              <w:jc w:val="center"/>
            </w:pPr>
          </w:p>
          <w:p>
            <w:pPr>
              <w:ind w:right="-57"/>
              <w:jc w:val="center"/>
              <w:rPr>
                <w:bCs/>
              </w:rPr>
            </w:pPr>
            <w:r>
              <w:rPr>
                <w:bCs/>
              </w:rPr>
              <w:t>Факт</w:t>
            </w:r>
          </w:p>
          <w:p>
            <w:pPr>
              <w:ind w:left="-108" w:right="-108"/>
              <w:jc w:val="center"/>
            </w:pPr>
            <w:r>
              <w:rPr>
                <w:bCs/>
              </w:rPr>
              <w:t>2018 год, тыс.руб.</w:t>
            </w:r>
          </w:p>
        </w:tc>
        <w:tc>
          <w:tcPr>
            <w:tcW w:w="5291" w:type="dxa"/>
            <w:gridSpan w:val="5"/>
            <w:vAlign w:val="center"/>
          </w:tcPr>
          <w:p>
            <w:pPr>
              <w:pStyle w:val="a5"/>
              <w:spacing w:after="0"/>
              <w:ind w:left="-57" w:right="-57"/>
              <w:jc w:val="center"/>
            </w:pPr>
            <w:r>
              <w:t>2019 год</w:t>
            </w:r>
          </w:p>
        </w:tc>
      </w:tr>
      <w:tr>
        <w:trPr>
          <w:trHeight w:val="559"/>
          <w:jc w:val="center"/>
        </w:trPr>
        <w:tc>
          <w:tcPr>
            <w:tcW w:w="2887" w:type="dxa"/>
            <w:vMerge/>
            <w:vAlign w:val="center"/>
          </w:tcPr>
          <w:p>
            <w:pPr>
              <w:pStyle w:val="a5"/>
              <w:spacing w:after="0"/>
              <w:ind w:right="-2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>
            <w:pPr>
              <w:ind w:left="-108" w:right="-108"/>
              <w:jc w:val="center"/>
            </w:pPr>
          </w:p>
        </w:tc>
        <w:tc>
          <w:tcPr>
            <w:tcW w:w="1134" w:type="dxa"/>
          </w:tcPr>
          <w:p>
            <w:pPr>
              <w:ind w:left="-158" w:right="-108"/>
              <w:jc w:val="center"/>
            </w:pPr>
            <w:proofErr w:type="spellStart"/>
            <w:r>
              <w:t>Первона-чальный</w:t>
            </w:r>
            <w:proofErr w:type="spellEnd"/>
            <w:r>
              <w:t xml:space="preserve"> прогноз, тыс</w:t>
            </w:r>
            <w:proofErr w:type="gramStart"/>
            <w:r>
              <w:t>.р</w:t>
            </w:r>
            <w:proofErr w:type="gramEnd"/>
            <w:r>
              <w:t>уб.</w:t>
            </w:r>
          </w:p>
        </w:tc>
        <w:tc>
          <w:tcPr>
            <w:tcW w:w="1134" w:type="dxa"/>
            <w:vAlign w:val="center"/>
          </w:tcPr>
          <w:p>
            <w:pPr>
              <w:ind w:left="-158" w:right="-108"/>
              <w:jc w:val="center"/>
            </w:pPr>
            <w:r>
              <w:t>Уточненный прогноз,</w:t>
            </w:r>
            <w:r>
              <w:br/>
              <w:t>тыс</w:t>
            </w:r>
            <w:proofErr w:type="gramStart"/>
            <w:r>
              <w:t>.р</w:t>
            </w:r>
            <w:proofErr w:type="gramEnd"/>
            <w:r>
              <w:t>уб.</w:t>
            </w:r>
          </w:p>
        </w:tc>
        <w:tc>
          <w:tcPr>
            <w:tcW w:w="992" w:type="dxa"/>
            <w:vAlign w:val="center"/>
          </w:tcPr>
          <w:p>
            <w:pPr>
              <w:ind w:left="-108" w:right="-108"/>
              <w:jc w:val="center"/>
            </w:pPr>
            <w:r>
              <w:t xml:space="preserve">Факт, </w:t>
            </w:r>
            <w:r>
              <w:br/>
              <w:t>тыс.руб.</w:t>
            </w:r>
          </w:p>
        </w:tc>
        <w:tc>
          <w:tcPr>
            <w:tcW w:w="1157" w:type="dxa"/>
            <w:vAlign w:val="center"/>
          </w:tcPr>
          <w:p>
            <w:pPr>
              <w:pStyle w:val="a5"/>
              <w:tabs>
                <w:tab w:val="left" w:pos="-108"/>
                <w:tab w:val="left" w:pos="-77"/>
              </w:tabs>
              <w:spacing w:after="0"/>
              <w:ind w:left="-108" w:right="-108"/>
              <w:jc w:val="center"/>
            </w:pPr>
            <w:r>
              <w:t>Отклонение</w:t>
            </w:r>
          </w:p>
          <w:p>
            <w:pPr>
              <w:pStyle w:val="a5"/>
              <w:tabs>
                <w:tab w:val="left" w:pos="-108"/>
                <w:tab w:val="left" w:pos="-77"/>
              </w:tabs>
              <w:spacing w:after="0"/>
              <w:ind w:left="-108" w:right="-108"/>
              <w:jc w:val="center"/>
            </w:pPr>
            <w:r>
              <w:t>тыс.руб.</w:t>
            </w:r>
          </w:p>
        </w:tc>
        <w:tc>
          <w:tcPr>
            <w:tcW w:w="874" w:type="dxa"/>
            <w:vAlign w:val="center"/>
          </w:tcPr>
          <w:p>
            <w:pPr>
              <w:pStyle w:val="a5"/>
              <w:tabs>
                <w:tab w:val="left" w:pos="-192"/>
                <w:tab w:val="left" w:pos="-77"/>
              </w:tabs>
              <w:spacing w:after="0"/>
              <w:ind w:left="-108" w:right="-108"/>
              <w:jc w:val="center"/>
            </w:pPr>
            <w:r>
              <w:t>%</w:t>
            </w:r>
          </w:p>
          <w:p>
            <w:pPr>
              <w:pStyle w:val="a5"/>
              <w:tabs>
                <w:tab w:val="left" w:pos="-192"/>
                <w:tab w:val="left" w:pos="0"/>
              </w:tabs>
              <w:spacing w:after="0"/>
              <w:ind w:left="-108" w:right="-108"/>
              <w:jc w:val="center"/>
            </w:pPr>
            <w:proofErr w:type="spellStart"/>
            <w:proofErr w:type="gramStart"/>
            <w:r>
              <w:t>испол-нения</w:t>
            </w:r>
            <w:proofErr w:type="spellEnd"/>
            <w:proofErr w:type="gramEnd"/>
          </w:p>
        </w:tc>
      </w:tr>
      <w:tr>
        <w:trPr>
          <w:trHeight w:val="142"/>
          <w:jc w:val="center"/>
        </w:trPr>
        <w:tc>
          <w:tcPr>
            <w:tcW w:w="2887" w:type="dxa"/>
            <w:vAlign w:val="center"/>
          </w:tcPr>
          <w:p>
            <w:pPr>
              <w:pStyle w:val="a5"/>
              <w:tabs>
                <w:tab w:val="left" w:pos="3966"/>
              </w:tabs>
              <w:spacing w:after="0"/>
              <w:ind w:right="-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157" w:type="dxa"/>
            <w:shd w:val="clear" w:color="auto" w:fill="auto"/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6=5-4</w:t>
            </w:r>
          </w:p>
        </w:tc>
        <w:tc>
          <w:tcPr>
            <w:tcW w:w="874" w:type="dxa"/>
            <w:shd w:val="clear" w:color="auto" w:fill="auto"/>
            <w:vAlign w:val="center"/>
          </w:tcPr>
          <w:p>
            <w:pPr>
              <w:pStyle w:val="a5"/>
              <w:spacing w:after="0"/>
              <w:ind w:left="-57" w:right="-5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7=5/4</w:t>
            </w:r>
          </w:p>
        </w:tc>
      </w:tr>
      <w:tr>
        <w:trPr>
          <w:trHeight w:val="274"/>
          <w:jc w:val="center"/>
        </w:trPr>
        <w:tc>
          <w:tcPr>
            <w:tcW w:w="2887" w:type="dxa"/>
            <w:vAlign w:val="center"/>
          </w:tcPr>
          <w:p>
            <w:pPr>
              <w:pStyle w:val="a5"/>
              <w:tabs>
                <w:tab w:val="left" w:pos="3966"/>
              </w:tabs>
              <w:spacing w:after="0"/>
              <w:ind w:right="-120"/>
            </w:pPr>
            <w:r>
              <w:t>Аренда движимого имущества</w:t>
            </w:r>
          </w:p>
        </w:tc>
        <w:tc>
          <w:tcPr>
            <w:tcW w:w="1134" w:type="dxa"/>
            <w:vAlign w:val="center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1 321,66</w:t>
            </w:r>
          </w:p>
        </w:tc>
        <w:tc>
          <w:tcPr>
            <w:tcW w:w="1134" w:type="dxa"/>
            <w:vAlign w:val="center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1 152,04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1 850,04</w:t>
            </w:r>
          </w:p>
        </w:tc>
        <w:tc>
          <w:tcPr>
            <w:tcW w:w="992" w:type="dxa"/>
            <w:shd w:val="clear" w:color="auto" w:fill="auto"/>
            <w:vAlign w:val="center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1 850,79</w:t>
            </w:r>
          </w:p>
        </w:tc>
        <w:tc>
          <w:tcPr>
            <w:tcW w:w="1157" w:type="dxa"/>
            <w:shd w:val="clear" w:color="auto" w:fill="auto"/>
            <w:vAlign w:val="center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0,75</w:t>
            </w:r>
          </w:p>
        </w:tc>
        <w:tc>
          <w:tcPr>
            <w:tcW w:w="874" w:type="dxa"/>
            <w:shd w:val="clear" w:color="auto" w:fill="auto"/>
            <w:vAlign w:val="center"/>
          </w:tcPr>
          <w:p>
            <w:pPr>
              <w:pStyle w:val="a5"/>
              <w:spacing w:after="0"/>
              <w:ind w:left="-57" w:right="-57"/>
              <w:jc w:val="center"/>
            </w:pPr>
            <w:r>
              <w:t>100,0</w:t>
            </w:r>
          </w:p>
        </w:tc>
      </w:tr>
    </w:tbl>
    <w:p>
      <w:pPr>
        <w:pStyle w:val="a5"/>
        <w:spacing w:before="120" w:after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Удельный вес статьи в общей структуре фактически поступивших доходов составляет 0,04%, налоговых и неналоговых доходах - 0,2%.</w:t>
      </w:r>
    </w:p>
    <w:p>
      <w:pPr>
        <w:tabs>
          <w:tab w:val="left" w:pos="0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Норматив зачисления в бюджет ЗАТО Северск 100%.</w:t>
      </w:r>
    </w:p>
    <w:p>
      <w:pPr>
        <w:pStyle w:val="a5"/>
        <w:spacing w:after="0"/>
        <w:ind w:right="23" w:firstLine="720"/>
        <w:jc w:val="both"/>
        <w:rPr>
          <w:sz w:val="24"/>
          <w:szCs w:val="24"/>
        </w:rPr>
      </w:pPr>
      <w:r>
        <w:rPr>
          <w:sz w:val="24"/>
          <w:szCs w:val="24"/>
        </w:rPr>
        <w:t>По сравнению с 2018 годом увеличение по статье составило 529,13 тыс.руб. или на 40,0% в связи с поступлением задолженности по исполнительным листам от ООО «</w:t>
      </w:r>
      <w:proofErr w:type="spellStart"/>
      <w:r>
        <w:rPr>
          <w:sz w:val="24"/>
          <w:szCs w:val="24"/>
        </w:rPr>
        <w:t>Автотранс</w:t>
      </w:r>
      <w:proofErr w:type="spellEnd"/>
      <w:r>
        <w:rPr>
          <w:sz w:val="24"/>
          <w:szCs w:val="24"/>
        </w:rPr>
        <w:t>».</w:t>
      </w:r>
    </w:p>
    <w:p>
      <w:pPr>
        <w:pStyle w:val="a5"/>
        <w:tabs>
          <w:tab w:val="num" w:pos="0"/>
        </w:tabs>
        <w:spacing w:after="0"/>
        <w:rPr>
          <w:b/>
          <w:sz w:val="18"/>
          <w:szCs w:val="18"/>
          <w:highlight w:val="yellow"/>
        </w:rPr>
      </w:pPr>
    </w:p>
    <w:p>
      <w:pPr>
        <w:pStyle w:val="a5"/>
        <w:spacing w:after="80"/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3.2.1.7. Аренда рекламных конструкций</w:t>
      </w:r>
    </w:p>
    <w:p>
      <w:pPr>
        <w:tabs>
          <w:tab w:val="left" w:pos="0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Прогноз поступлений по статье «Аренда рекламных конструкций» составлял 4 946,60 тыс.руб., фактическое исполнение – 5 261,84 тыс.руб., перевыполнение на 315,24 тыс.руб. или на 6,4%.</w:t>
      </w:r>
    </w:p>
    <w:p>
      <w:pPr>
        <w:pStyle w:val="a5"/>
        <w:spacing w:before="60" w:after="6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Таблица 30. Анализ поступления доходов от аренды рекламных конструкций                   за 2018 - 2019 гг.</w:t>
      </w:r>
    </w:p>
    <w:tbl>
      <w:tblPr>
        <w:tblW w:w="95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98"/>
        <w:gridCol w:w="1025"/>
        <w:gridCol w:w="1190"/>
        <w:gridCol w:w="1190"/>
        <w:gridCol w:w="1065"/>
        <w:gridCol w:w="1157"/>
        <w:gridCol w:w="828"/>
      </w:tblGrid>
      <w:tr>
        <w:trPr>
          <w:trHeight w:val="205"/>
          <w:jc w:val="center"/>
        </w:trPr>
        <w:tc>
          <w:tcPr>
            <w:tcW w:w="3098" w:type="dxa"/>
            <w:vMerge w:val="restart"/>
            <w:vAlign w:val="center"/>
          </w:tcPr>
          <w:p>
            <w:pPr>
              <w:pStyle w:val="a5"/>
              <w:ind w:right="-2"/>
              <w:jc w:val="center"/>
            </w:pPr>
            <w:r>
              <w:t xml:space="preserve">Наименование </w:t>
            </w:r>
          </w:p>
        </w:tc>
        <w:tc>
          <w:tcPr>
            <w:tcW w:w="1025" w:type="dxa"/>
            <w:vMerge w:val="restart"/>
            <w:vAlign w:val="center"/>
          </w:tcPr>
          <w:p>
            <w:pPr>
              <w:ind w:right="-57"/>
              <w:jc w:val="center"/>
              <w:rPr>
                <w:bCs/>
              </w:rPr>
            </w:pPr>
            <w:r>
              <w:rPr>
                <w:bCs/>
              </w:rPr>
              <w:t>Факт</w:t>
            </w:r>
          </w:p>
          <w:p>
            <w:pPr>
              <w:ind w:left="-108" w:right="-108"/>
              <w:jc w:val="center"/>
            </w:pPr>
            <w:r>
              <w:rPr>
                <w:bCs/>
              </w:rPr>
              <w:t>2019 год, тыс.руб.</w:t>
            </w:r>
          </w:p>
        </w:tc>
        <w:tc>
          <w:tcPr>
            <w:tcW w:w="5430" w:type="dxa"/>
            <w:gridSpan w:val="5"/>
            <w:vAlign w:val="center"/>
          </w:tcPr>
          <w:p>
            <w:pPr>
              <w:pStyle w:val="a5"/>
              <w:spacing w:after="0"/>
              <w:ind w:left="-57" w:right="-57"/>
              <w:jc w:val="center"/>
            </w:pPr>
            <w:r>
              <w:t>2019 год</w:t>
            </w:r>
          </w:p>
        </w:tc>
      </w:tr>
      <w:tr>
        <w:trPr>
          <w:trHeight w:val="732"/>
          <w:jc w:val="center"/>
        </w:trPr>
        <w:tc>
          <w:tcPr>
            <w:tcW w:w="3098" w:type="dxa"/>
            <w:vMerge/>
            <w:vAlign w:val="center"/>
          </w:tcPr>
          <w:p>
            <w:pPr>
              <w:pStyle w:val="a5"/>
              <w:spacing w:after="0"/>
              <w:ind w:right="-2"/>
              <w:jc w:val="center"/>
              <w:rPr>
                <w:sz w:val="22"/>
                <w:szCs w:val="22"/>
              </w:rPr>
            </w:pPr>
          </w:p>
        </w:tc>
        <w:tc>
          <w:tcPr>
            <w:tcW w:w="1025" w:type="dxa"/>
            <w:vMerge/>
          </w:tcPr>
          <w:p>
            <w:pPr>
              <w:ind w:left="-108" w:right="-108"/>
              <w:jc w:val="center"/>
            </w:pPr>
          </w:p>
        </w:tc>
        <w:tc>
          <w:tcPr>
            <w:tcW w:w="1190" w:type="dxa"/>
          </w:tcPr>
          <w:p>
            <w:pPr>
              <w:ind w:left="-158" w:right="-108"/>
              <w:jc w:val="center"/>
            </w:pPr>
            <w:proofErr w:type="spellStart"/>
            <w:r>
              <w:t>Первона-чальный</w:t>
            </w:r>
            <w:proofErr w:type="spellEnd"/>
            <w:r>
              <w:t xml:space="preserve"> прогноз, тыс</w:t>
            </w:r>
            <w:proofErr w:type="gramStart"/>
            <w:r>
              <w:t>.р</w:t>
            </w:r>
            <w:proofErr w:type="gramEnd"/>
            <w:r>
              <w:t>уб.</w:t>
            </w:r>
          </w:p>
        </w:tc>
        <w:tc>
          <w:tcPr>
            <w:tcW w:w="1190" w:type="dxa"/>
            <w:vAlign w:val="center"/>
          </w:tcPr>
          <w:p>
            <w:pPr>
              <w:ind w:left="-158" w:right="-108"/>
              <w:jc w:val="center"/>
            </w:pPr>
            <w:r>
              <w:t>Уточненный прогноз,</w:t>
            </w:r>
            <w:r>
              <w:br/>
              <w:t>тыс</w:t>
            </w:r>
            <w:proofErr w:type="gramStart"/>
            <w:r>
              <w:t>.р</w:t>
            </w:r>
            <w:proofErr w:type="gramEnd"/>
            <w:r>
              <w:t>уб.</w:t>
            </w:r>
          </w:p>
        </w:tc>
        <w:tc>
          <w:tcPr>
            <w:tcW w:w="1065" w:type="dxa"/>
            <w:vAlign w:val="center"/>
          </w:tcPr>
          <w:p>
            <w:pPr>
              <w:ind w:left="-108" w:right="-108"/>
              <w:jc w:val="center"/>
            </w:pPr>
            <w:r>
              <w:t xml:space="preserve">Факт, </w:t>
            </w:r>
            <w:r>
              <w:br/>
              <w:t>тыс.руб.</w:t>
            </w:r>
          </w:p>
        </w:tc>
        <w:tc>
          <w:tcPr>
            <w:tcW w:w="1157" w:type="dxa"/>
            <w:vAlign w:val="center"/>
          </w:tcPr>
          <w:p>
            <w:pPr>
              <w:pStyle w:val="a5"/>
              <w:tabs>
                <w:tab w:val="left" w:pos="-108"/>
                <w:tab w:val="left" w:pos="-77"/>
              </w:tabs>
              <w:spacing w:after="0"/>
              <w:ind w:left="-108" w:right="-108"/>
              <w:jc w:val="center"/>
            </w:pPr>
            <w:r>
              <w:t>Отклонение</w:t>
            </w:r>
          </w:p>
          <w:p>
            <w:pPr>
              <w:pStyle w:val="a5"/>
              <w:tabs>
                <w:tab w:val="left" w:pos="-108"/>
                <w:tab w:val="left" w:pos="-77"/>
              </w:tabs>
              <w:spacing w:after="0"/>
              <w:ind w:left="-108" w:right="-108"/>
              <w:jc w:val="center"/>
            </w:pPr>
            <w:r>
              <w:t>тыс.руб.</w:t>
            </w:r>
          </w:p>
        </w:tc>
        <w:tc>
          <w:tcPr>
            <w:tcW w:w="828" w:type="dxa"/>
            <w:vAlign w:val="center"/>
          </w:tcPr>
          <w:p>
            <w:pPr>
              <w:pStyle w:val="a5"/>
              <w:tabs>
                <w:tab w:val="left" w:pos="-192"/>
                <w:tab w:val="left" w:pos="-77"/>
              </w:tabs>
              <w:spacing w:after="0"/>
              <w:ind w:left="-108" w:right="-108"/>
              <w:jc w:val="center"/>
            </w:pPr>
            <w:r>
              <w:t>%</w:t>
            </w:r>
          </w:p>
          <w:p>
            <w:pPr>
              <w:pStyle w:val="a5"/>
              <w:tabs>
                <w:tab w:val="left" w:pos="-192"/>
                <w:tab w:val="left" w:pos="0"/>
              </w:tabs>
              <w:spacing w:after="0"/>
              <w:ind w:left="-108" w:right="-108"/>
              <w:jc w:val="center"/>
            </w:pPr>
            <w:proofErr w:type="spellStart"/>
            <w:proofErr w:type="gramStart"/>
            <w:r>
              <w:t>испол-нения</w:t>
            </w:r>
            <w:proofErr w:type="spellEnd"/>
            <w:proofErr w:type="gramEnd"/>
          </w:p>
        </w:tc>
      </w:tr>
      <w:tr>
        <w:trPr>
          <w:trHeight w:val="58"/>
          <w:jc w:val="center"/>
        </w:trPr>
        <w:tc>
          <w:tcPr>
            <w:tcW w:w="3098" w:type="dxa"/>
            <w:vAlign w:val="center"/>
          </w:tcPr>
          <w:p>
            <w:pPr>
              <w:pStyle w:val="a5"/>
              <w:tabs>
                <w:tab w:val="left" w:pos="3966"/>
              </w:tabs>
              <w:spacing w:after="0"/>
              <w:ind w:right="-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025" w:type="dxa"/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190" w:type="dxa"/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190" w:type="dxa"/>
            <w:shd w:val="clear" w:color="auto" w:fill="auto"/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65" w:type="dxa"/>
            <w:shd w:val="clear" w:color="auto" w:fill="auto"/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157" w:type="dxa"/>
            <w:shd w:val="clear" w:color="auto" w:fill="auto"/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6=5-4</w:t>
            </w:r>
          </w:p>
        </w:tc>
        <w:tc>
          <w:tcPr>
            <w:tcW w:w="828" w:type="dxa"/>
            <w:shd w:val="clear" w:color="auto" w:fill="auto"/>
            <w:vAlign w:val="center"/>
          </w:tcPr>
          <w:p>
            <w:pPr>
              <w:pStyle w:val="a5"/>
              <w:spacing w:after="0"/>
              <w:ind w:left="-57" w:right="-5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7=5/4</w:t>
            </w:r>
          </w:p>
        </w:tc>
      </w:tr>
      <w:tr>
        <w:trPr>
          <w:trHeight w:val="274"/>
          <w:jc w:val="center"/>
        </w:trPr>
        <w:tc>
          <w:tcPr>
            <w:tcW w:w="3098" w:type="dxa"/>
            <w:vAlign w:val="center"/>
          </w:tcPr>
          <w:p>
            <w:pPr>
              <w:pStyle w:val="a5"/>
              <w:tabs>
                <w:tab w:val="left" w:pos="3966"/>
              </w:tabs>
              <w:spacing w:after="0"/>
              <w:ind w:right="-119"/>
            </w:pPr>
            <w:r>
              <w:t>Аренда рекламных конструкций</w:t>
            </w:r>
          </w:p>
        </w:tc>
        <w:tc>
          <w:tcPr>
            <w:tcW w:w="1025" w:type="dxa"/>
            <w:vAlign w:val="center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5 045,54</w:t>
            </w:r>
          </w:p>
        </w:tc>
        <w:tc>
          <w:tcPr>
            <w:tcW w:w="1190" w:type="dxa"/>
            <w:vAlign w:val="center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4 196,60</w:t>
            </w:r>
          </w:p>
        </w:tc>
        <w:tc>
          <w:tcPr>
            <w:tcW w:w="1190" w:type="dxa"/>
            <w:shd w:val="clear" w:color="auto" w:fill="auto"/>
            <w:vAlign w:val="center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4 946,60</w:t>
            </w:r>
          </w:p>
        </w:tc>
        <w:tc>
          <w:tcPr>
            <w:tcW w:w="1065" w:type="dxa"/>
            <w:shd w:val="clear" w:color="auto" w:fill="auto"/>
            <w:vAlign w:val="center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5 261,84</w:t>
            </w:r>
          </w:p>
        </w:tc>
        <w:tc>
          <w:tcPr>
            <w:tcW w:w="1157" w:type="dxa"/>
            <w:shd w:val="clear" w:color="auto" w:fill="auto"/>
            <w:vAlign w:val="center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315,24</w:t>
            </w:r>
          </w:p>
        </w:tc>
        <w:tc>
          <w:tcPr>
            <w:tcW w:w="828" w:type="dxa"/>
            <w:shd w:val="clear" w:color="auto" w:fill="auto"/>
            <w:vAlign w:val="center"/>
          </w:tcPr>
          <w:p>
            <w:pPr>
              <w:pStyle w:val="a5"/>
              <w:spacing w:after="0"/>
              <w:ind w:left="-57" w:right="-57"/>
              <w:jc w:val="center"/>
            </w:pPr>
            <w:r>
              <w:t>106,4</w:t>
            </w:r>
          </w:p>
        </w:tc>
      </w:tr>
    </w:tbl>
    <w:p>
      <w:pPr>
        <w:pStyle w:val="a5"/>
        <w:spacing w:before="120" w:after="0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Удельный вес статьи в общей структуре фактически поступивших доходов составляет 0,1%, налоговых и неналоговых доходах - 0,5%.</w:t>
      </w:r>
    </w:p>
    <w:p>
      <w:pPr>
        <w:tabs>
          <w:tab w:val="left" w:pos="0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Норматив зачисления в бюджет ЗАТО Северск 100%.</w:t>
      </w:r>
    </w:p>
    <w:p>
      <w:pPr>
        <w:pStyle w:val="a5"/>
        <w:spacing w:after="0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По сравнению с 2018 годом увеличение поступлений по статье составило 216,30 тыс.руб. или на 4,3%.</w:t>
      </w:r>
    </w:p>
    <w:p>
      <w:pPr>
        <w:pStyle w:val="a5"/>
        <w:spacing w:after="0"/>
        <w:jc w:val="both"/>
      </w:pPr>
    </w:p>
    <w:p>
      <w:pPr>
        <w:spacing w:before="120"/>
        <w:ind w:left="539" w:firstLine="28"/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3.2.1.8. Доходы от перечисления части прибыли, </w:t>
      </w:r>
    </w:p>
    <w:p>
      <w:pPr>
        <w:ind w:left="539" w:firstLine="28"/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остающейся после уплаты налогов и иных обязательных </w:t>
      </w:r>
    </w:p>
    <w:p>
      <w:pPr>
        <w:spacing w:after="160"/>
        <w:ind w:left="539" w:firstLine="28"/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платежей муниципальных унитарных предприятий</w:t>
      </w:r>
    </w:p>
    <w:p>
      <w:pPr>
        <w:pStyle w:val="22"/>
        <w:ind w:firstLine="709"/>
      </w:pPr>
      <w:r>
        <w:rPr>
          <w:szCs w:val="24"/>
        </w:rPr>
        <w:t xml:space="preserve">Прогноз поступлений по данной статье составлял 12,00 тыс.руб., фактически доходы не поступили </w:t>
      </w:r>
      <w:r>
        <w:t>в связи с приватизацией МП ЗАТО Северск СМИ ИА «Радио Северска».</w:t>
      </w:r>
    </w:p>
    <w:p>
      <w:pPr>
        <w:pStyle w:val="22"/>
        <w:ind w:firstLine="709"/>
      </w:pPr>
    </w:p>
    <w:p>
      <w:pPr>
        <w:pStyle w:val="a5"/>
        <w:spacing w:after="16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3.2.2. Платежи при пользовании природными ресурсами</w:t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Прогноз поступлений по статье «Плата за негативное воздействие на окружающую среду» составлял 19 941,61 тыс.руб., фактически поступило 19 568,56 тыс.руб., невыполнение на 373,05 тыс.руб. или на 1,9%.</w:t>
      </w:r>
    </w:p>
    <w:p>
      <w:pPr>
        <w:pStyle w:val="a5"/>
        <w:spacing w:before="120" w:after="6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Таблица 32. Анализ поступления платы за негативное воздействие на окружающую среду за 2018 - 2019 гг.</w:t>
      </w:r>
    </w:p>
    <w:tbl>
      <w:tblPr>
        <w:tblW w:w="95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24"/>
        <w:gridCol w:w="1184"/>
        <w:gridCol w:w="1096"/>
        <w:gridCol w:w="1129"/>
        <w:gridCol w:w="1132"/>
        <w:gridCol w:w="1066"/>
        <w:gridCol w:w="733"/>
      </w:tblGrid>
      <w:tr>
        <w:trPr>
          <w:trHeight w:val="347"/>
          <w:jc w:val="center"/>
        </w:trPr>
        <w:tc>
          <w:tcPr>
            <w:tcW w:w="3224" w:type="dxa"/>
            <w:vMerge w:val="restart"/>
            <w:vAlign w:val="center"/>
          </w:tcPr>
          <w:p>
            <w:pPr>
              <w:pStyle w:val="a5"/>
              <w:ind w:right="-2"/>
              <w:jc w:val="center"/>
            </w:pPr>
            <w:r>
              <w:t xml:space="preserve">Наименование </w:t>
            </w:r>
          </w:p>
        </w:tc>
        <w:tc>
          <w:tcPr>
            <w:tcW w:w="1184" w:type="dxa"/>
            <w:vMerge w:val="restart"/>
            <w:vAlign w:val="center"/>
          </w:tcPr>
          <w:p>
            <w:pPr>
              <w:ind w:right="-57"/>
              <w:jc w:val="center"/>
              <w:rPr>
                <w:bCs/>
              </w:rPr>
            </w:pPr>
            <w:r>
              <w:rPr>
                <w:bCs/>
              </w:rPr>
              <w:t>Факт</w:t>
            </w:r>
          </w:p>
          <w:p>
            <w:pPr>
              <w:ind w:left="-158" w:right="-108"/>
              <w:jc w:val="center"/>
            </w:pPr>
            <w:r>
              <w:rPr>
                <w:bCs/>
              </w:rPr>
              <w:t>2018 год, тыс.руб</w:t>
            </w:r>
          </w:p>
        </w:tc>
        <w:tc>
          <w:tcPr>
            <w:tcW w:w="5156" w:type="dxa"/>
            <w:gridSpan w:val="5"/>
            <w:vAlign w:val="center"/>
          </w:tcPr>
          <w:p>
            <w:pPr>
              <w:ind w:left="-108" w:right="-108"/>
              <w:jc w:val="center"/>
            </w:pPr>
            <w:r>
              <w:t>2019 год</w:t>
            </w:r>
          </w:p>
        </w:tc>
      </w:tr>
      <w:tr>
        <w:trPr>
          <w:trHeight w:val="975"/>
          <w:jc w:val="center"/>
        </w:trPr>
        <w:tc>
          <w:tcPr>
            <w:tcW w:w="3224" w:type="dxa"/>
            <w:vMerge/>
            <w:vAlign w:val="center"/>
          </w:tcPr>
          <w:p>
            <w:pPr>
              <w:pStyle w:val="a5"/>
              <w:spacing w:after="0"/>
              <w:ind w:right="-2"/>
              <w:jc w:val="center"/>
              <w:rPr>
                <w:sz w:val="22"/>
                <w:szCs w:val="22"/>
              </w:rPr>
            </w:pPr>
          </w:p>
        </w:tc>
        <w:tc>
          <w:tcPr>
            <w:tcW w:w="1184" w:type="dxa"/>
            <w:vMerge/>
            <w:vAlign w:val="center"/>
          </w:tcPr>
          <w:p>
            <w:pPr>
              <w:ind w:left="-108" w:right="-108"/>
              <w:jc w:val="center"/>
            </w:pPr>
          </w:p>
        </w:tc>
        <w:tc>
          <w:tcPr>
            <w:tcW w:w="1096" w:type="dxa"/>
          </w:tcPr>
          <w:p>
            <w:pPr>
              <w:ind w:left="-158" w:right="-108"/>
              <w:jc w:val="center"/>
            </w:pPr>
            <w:proofErr w:type="spellStart"/>
            <w:r>
              <w:t>Первона-чальный</w:t>
            </w:r>
            <w:proofErr w:type="spellEnd"/>
            <w:r>
              <w:t xml:space="preserve"> прогноз, тыс</w:t>
            </w:r>
            <w:proofErr w:type="gramStart"/>
            <w:r>
              <w:t>.р</w:t>
            </w:r>
            <w:proofErr w:type="gramEnd"/>
            <w:r>
              <w:t>уб.</w:t>
            </w:r>
          </w:p>
        </w:tc>
        <w:tc>
          <w:tcPr>
            <w:tcW w:w="1129" w:type="dxa"/>
            <w:vAlign w:val="center"/>
          </w:tcPr>
          <w:p>
            <w:pPr>
              <w:ind w:left="-158" w:right="-108"/>
              <w:jc w:val="center"/>
            </w:pPr>
            <w:r>
              <w:t>Уточненный прогноз,</w:t>
            </w:r>
            <w:r>
              <w:br/>
              <w:t>тыс</w:t>
            </w:r>
            <w:proofErr w:type="gramStart"/>
            <w:r>
              <w:t>.р</w:t>
            </w:r>
            <w:proofErr w:type="gramEnd"/>
            <w:r>
              <w:t>уб.</w:t>
            </w:r>
          </w:p>
        </w:tc>
        <w:tc>
          <w:tcPr>
            <w:tcW w:w="1132" w:type="dxa"/>
            <w:vAlign w:val="center"/>
          </w:tcPr>
          <w:p>
            <w:pPr>
              <w:ind w:left="-108" w:right="-108"/>
              <w:jc w:val="center"/>
            </w:pPr>
            <w:r>
              <w:t xml:space="preserve">Факт, </w:t>
            </w:r>
            <w:r>
              <w:br/>
              <w:t>тыс.руб.</w:t>
            </w:r>
          </w:p>
        </w:tc>
        <w:tc>
          <w:tcPr>
            <w:tcW w:w="1066" w:type="dxa"/>
            <w:vAlign w:val="center"/>
          </w:tcPr>
          <w:p>
            <w:pPr>
              <w:pStyle w:val="a5"/>
              <w:tabs>
                <w:tab w:val="left" w:pos="-108"/>
                <w:tab w:val="left" w:pos="-77"/>
              </w:tabs>
              <w:spacing w:after="0"/>
              <w:ind w:left="-108" w:right="-108"/>
              <w:jc w:val="center"/>
            </w:pPr>
            <w:r>
              <w:t>Отклонение</w:t>
            </w:r>
          </w:p>
          <w:p>
            <w:pPr>
              <w:pStyle w:val="a5"/>
              <w:tabs>
                <w:tab w:val="left" w:pos="-108"/>
                <w:tab w:val="left" w:pos="-77"/>
              </w:tabs>
              <w:spacing w:after="0"/>
              <w:ind w:left="-108" w:right="-108"/>
              <w:jc w:val="center"/>
            </w:pPr>
            <w:r>
              <w:t>тыс.руб.</w:t>
            </w:r>
          </w:p>
        </w:tc>
        <w:tc>
          <w:tcPr>
            <w:tcW w:w="733" w:type="dxa"/>
            <w:vAlign w:val="center"/>
          </w:tcPr>
          <w:p>
            <w:pPr>
              <w:pStyle w:val="a5"/>
              <w:tabs>
                <w:tab w:val="left" w:pos="-192"/>
                <w:tab w:val="left" w:pos="-77"/>
              </w:tabs>
              <w:spacing w:after="0"/>
              <w:ind w:left="-108" w:right="-108"/>
              <w:jc w:val="center"/>
            </w:pPr>
            <w:r>
              <w:t>%</w:t>
            </w:r>
          </w:p>
          <w:p>
            <w:pPr>
              <w:pStyle w:val="a5"/>
              <w:tabs>
                <w:tab w:val="left" w:pos="-192"/>
                <w:tab w:val="left" w:pos="0"/>
              </w:tabs>
              <w:spacing w:after="0"/>
              <w:ind w:left="-108" w:right="-108"/>
              <w:jc w:val="center"/>
            </w:pPr>
            <w:proofErr w:type="spellStart"/>
            <w:proofErr w:type="gramStart"/>
            <w:r>
              <w:t>испол-нения</w:t>
            </w:r>
            <w:proofErr w:type="spellEnd"/>
            <w:proofErr w:type="gramEnd"/>
          </w:p>
        </w:tc>
      </w:tr>
      <w:tr>
        <w:trPr>
          <w:trHeight w:val="193"/>
          <w:jc w:val="center"/>
        </w:trPr>
        <w:tc>
          <w:tcPr>
            <w:tcW w:w="3224" w:type="dxa"/>
            <w:vAlign w:val="center"/>
          </w:tcPr>
          <w:p>
            <w:pPr>
              <w:pStyle w:val="a5"/>
              <w:tabs>
                <w:tab w:val="left" w:pos="3966"/>
              </w:tabs>
              <w:spacing w:after="0"/>
              <w:ind w:right="-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184" w:type="dxa"/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96" w:type="dxa"/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129" w:type="dxa"/>
            <w:shd w:val="clear" w:color="auto" w:fill="auto"/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132" w:type="dxa"/>
            <w:shd w:val="clear" w:color="auto" w:fill="auto"/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66" w:type="dxa"/>
            <w:shd w:val="clear" w:color="auto" w:fill="auto"/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6=5-4</w:t>
            </w:r>
          </w:p>
        </w:tc>
        <w:tc>
          <w:tcPr>
            <w:tcW w:w="733" w:type="dxa"/>
            <w:shd w:val="clear" w:color="auto" w:fill="auto"/>
            <w:vAlign w:val="center"/>
          </w:tcPr>
          <w:p>
            <w:pPr>
              <w:pStyle w:val="a5"/>
              <w:spacing w:after="0"/>
              <w:ind w:left="-57" w:right="-5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7=5/4</w:t>
            </w:r>
          </w:p>
        </w:tc>
      </w:tr>
      <w:tr>
        <w:trPr>
          <w:trHeight w:val="835"/>
          <w:jc w:val="center"/>
        </w:trPr>
        <w:tc>
          <w:tcPr>
            <w:tcW w:w="3224" w:type="dxa"/>
            <w:vAlign w:val="center"/>
          </w:tcPr>
          <w:p>
            <w:pPr>
              <w:pStyle w:val="a5"/>
              <w:tabs>
                <w:tab w:val="left" w:pos="3966"/>
              </w:tabs>
              <w:spacing w:after="0"/>
              <w:ind w:right="-119"/>
            </w:pPr>
            <w:r>
              <w:t xml:space="preserve">Плата за негативное воздействие </w:t>
            </w:r>
          </w:p>
          <w:p>
            <w:pPr>
              <w:pStyle w:val="a5"/>
              <w:tabs>
                <w:tab w:val="left" w:pos="3966"/>
              </w:tabs>
              <w:spacing w:after="0"/>
              <w:ind w:right="-119"/>
            </w:pPr>
            <w:r>
              <w:t>на окружающую среду,</w:t>
            </w:r>
          </w:p>
          <w:p>
            <w:pPr>
              <w:pStyle w:val="a5"/>
              <w:tabs>
                <w:tab w:val="left" w:pos="3966"/>
              </w:tabs>
              <w:spacing w:after="0"/>
              <w:ind w:right="-119"/>
            </w:pPr>
            <w:r>
              <w:t>в т.ч. в разрезе плательщиков:</w:t>
            </w:r>
          </w:p>
        </w:tc>
        <w:tc>
          <w:tcPr>
            <w:tcW w:w="1184" w:type="dxa"/>
            <w:vAlign w:val="center"/>
          </w:tcPr>
          <w:p>
            <w:pPr>
              <w:jc w:val="right"/>
            </w:pPr>
            <w:r>
              <w:t>12 956,71</w:t>
            </w:r>
          </w:p>
        </w:tc>
        <w:tc>
          <w:tcPr>
            <w:tcW w:w="1096" w:type="dxa"/>
            <w:vAlign w:val="center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14 198,,51</w:t>
            </w:r>
          </w:p>
        </w:tc>
        <w:tc>
          <w:tcPr>
            <w:tcW w:w="1129" w:type="dxa"/>
            <w:shd w:val="clear" w:color="auto" w:fill="auto"/>
            <w:vAlign w:val="center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19 941,61</w:t>
            </w:r>
          </w:p>
        </w:tc>
        <w:tc>
          <w:tcPr>
            <w:tcW w:w="1132" w:type="dxa"/>
            <w:shd w:val="clear" w:color="auto" w:fill="auto"/>
            <w:vAlign w:val="center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19 568,56</w:t>
            </w:r>
          </w:p>
        </w:tc>
        <w:tc>
          <w:tcPr>
            <w:tcW w:w="1066" w:type="dxa"/>
            <w:shd w:val="clear" w:color="auto" w:fill="auto"/>
            <w:vAlign w:val="center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-373,05</w:t>
            </w:r>
          </w:p>
        </w:tc>
        <w:tc>
          <w:tcPr>
            <w:tcW w:w="733" w:type="dxa"/>
            <w:shd w:val="clear" w:color="auto" w:fill="auto"/>
            <w:vAlign w:val="center"/>
          </w:tcPr>
          <w:p>
            <w:pPr>
              <w:pStyle w:val="a5"/>
              <w:spacing w:after="0"/>
              <w:ind w:left="-57" w:right="-57"/>
              <w:jc w:val="center"/>
            </w:pPr>
            <w:r>
              <w:t>98,1</w:t>
            </w:r>
          </w:p>
        </w:tc>
      </w:tr>
      <w:tr>
        <w:trPr>
          <w:trHeight w:val="422"/>
          <w:jc w:val="center"/>
        </w:trPr>
        <w:tc>
          <w:tcPr>
            <w:tcW w:w="3224" w:type="dxa"/>
            <w:vAlign w:val="center"/>
          </w:tcPr>
          <w:p>
            <w:pPr>
              <w:pStyle w:val="a5"/>
              <w:tabs>
                <w:tab w:val="left" w:pos="3966"/>
              </w:tabs>
              <w:spacing w:after="0"/>
              <w:ind w:right="-119"/>
            </w:pPr>
            <w:r>
              <w:t>АО «СХК»</w:t>
            </w:r>
          </w:p>
        </w:tc>
        <w:tc>
          <w:tcPr>
            <w:tcW w:w="1184" w:type="dxa"/>
            <w:vAlign w:val="center"/>
          </w:tcPr>
          <w:p>
            <w:pPr>
              <w:jc w:val="right"/>
            </w:pPr>
            <w:r>
              <w:t>6 407,53</w:t>
            </w:r>
          </w:p>
        </w:tc>
        <w:tc>
          <w:tcPr>
            <w:tcW w:w="1096" w:type="dxa"/>
            <w:vAlign w:val="center"/>
          </w:tcPr>
          <w:p>
            <w:pPr>
              <w:jc w:val="right"/>
            </w:pPr>
            <w:r>
              <w:t>7 986,00</w:t>
            </w:r>
          </w:p>
        </w:tc>
        <w:tc>
          <w:tcPr>
            <w:tcW w:w="1129" w:type="dxa"/>
            <w:shd w:val="clear" w:color="auto" w:fill="auto"/>
            <w:vAlign w:val="center"/>
          </w:tcPr>
          <w:p>
            <w:pPr>
              <w:jc w:val="right"/>
            </w:pPr>
            <w:r>
              <w:t>4 503,26</w:t>
            </w:r>
          </w:p>
        </w:tc>
        <w:tc>
          <w:tcPr>
            <w:tcW w:w="1132" w:type="dxa"/>
            <w:shd w:val="clear" w:color="auto" w:fill="auto"/>
            <w:vAlign w:val="center"/>
          </w:tcPr>
          <w:p>
            <w:pPr>
              <w:jc w:val="right"/>
            </w:pPr>
            <w:r>
              <w:t>4 372,89</w:t>
            </w:r>
          </w:p>
        </w:tc>
        <w:tc>
          <w:tcPr>
            <w:tcW w:w="1066" w:type="dxa"/>
            <w:shd w:val="clear" w:color="auto" w:fill="auto"/>
            <w:vAlign w:val="center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-130,37</w:t>
            </w:r>
          </w:p>
        </w:tc>
        <w:tc>
          <w:tcPr>
            <w:tcW w:w="733" w:type="dxa"/>
            <w:shd w:val="clear" w:color="auto" w:fill="auto"/>
            <w:vAlign w:val="center"/>
          </w:tcPr>
          <w:p>
            <w:pPr>
              <w:pStyle w:val="a5"/>
              <w:spacing w:after="0"/>
              <w:ind w:left="-57" w:right="-57"/>
              <w:jc w:val="center"/>
            </w:pPr>
            <w:r>
              <w:t>97,1</w:t>
            </w:r>
          </w:p>
        </w:tc>
      </w:tr>
      <w:tr>
        <w:trPr>
          <w:trHeight w:val="401"/>
          <w:jc w:val="center"/>
        </w:trPr>
        <w:tc>
          <w:tcPr>
            <w:tcW w:w="3224" w:type="dxa"/>
            <w:vAlign w:val="center"/>
          </w:tcPr>
          <w:p>
            <w:pPr>
              <w:pStyle w:val="a5"/>
              <w:tabs>
                <w:tab w:val="left" w:pos="3966"/>
              </w:tabs>
              <w:spacing w:after="0"/>
              <w:ind w:right="-119"/>
            </w:pPr>
            <w:r>
              <w:t>АО «ОТЭК»</w:t>
            </w:r>
          </w:p>
        </w:tc>
        <w:tc>
          <w:tcPr>
            <w:tcW w:w="1184" w:type="dxa"/>
            <w:vAlign w:val="center"/>
          </w:tcPr>
          <w:p>
            <w:pPr>
              <w:jc w:val="right"/>
            </w:pPr>
            <w:r>
              <w:t>5 325,79</w:t>
            </w:r>
          </w:p>
        </w:tc>
        <w:tc>
          <w:tcPr>
            <w:tcW w:w="1096" w:type="dxa"/>
            <w:vAlign w:val="center"/>
          </w:tcPr>
          <w:p>
            <w:pPr>
              <w:jc w:val="right"/>
            </w:pPr>
            <w:r>
              <w:t>5 752,34</w:t>
            </w:r>
          </w:p>
        </w:tc>
        <w:tc>
          <w:tcPr>
            <w:tcW w:w="1129" w:type="dxa"/>
            <w:shd w:val="clear" w:color="auto" w:fill="auto"/>
            <w:vAlign w:val="center"/>
          </w:tcPr>
          <w:p>
            <w:pPr>
              <w:jc w:val="right"/>
            </w:pPr>
            <w:r>
              <w:t>13 055,35</w:t>
            </w:r>
          </w:p>
        </w:tc>
        <w:tc>
          <w:tcPr>
            <w:tcW w:w="1132" w:type="dxa"/>
            <w:shd w:val="clear" w:color="auto" w:fill="auto"/>
            <w:vAlign w:val="center"/>
          </w:tcPr>
          <w:p>
            <w:pPr>
              <w:jc w:val="right"/>
            </w:pPr>
            <w:r>
              <w:t>13 055,39</w:t>
            </w:r>
          </w:p>
        </w:tc>
        <w:tc>
          <w:tcPr>
            <w:tcW w:w="1066" w:type="dxa"/>
            <w:shd w:val="clear" w:color="auto" w:fill="auto"/>
            <w:vAlign w:val="center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0,04</w:t>
            </w:r>
          </w:p>
        </w:tc>
        <w:tc>
          <w:tcPr>
            <w:tcW w:w="733" w:type="dxa"/>
            <w:shd w:val="clear" w:color="auto" w:fill="auto"/>
            <w:vAlign w:val="center"/>
          </w:tcPr>
          <w:p>
            <w:pPr>
              <w:pStyle w:val="a5"/>
              <w:spacing w:after="0"/>
              <w:ind w:left="-57" w:right="-57"/>
              <w:jc w:val="center"/>
            </w:pPr>
            <w:r>
              <w:t>100,0</w:t>
            </w:r>
          </w:p>
        </w:tc>
      </w:tr>
      <w:tr>
        <w:trPr>
          <w:trHeight w:val="434"/>
          <w:jc w:val="center"/>
        </w:trPr>
        <w:tc>
          <w:tcPr>
            <w:tcW w:w="3224" w:type="dxa"/>
            <w:vAlign w:val="center"/>
          </w:tcPr>
          <w:p>
            <w:pPr>
              <w:pStyle w:val="a5"/>
              <w:tabs>
                <w:tab w:val="left" w:pos="3966"/>
              </w:tabs>
              <w:spacing w:after="0"/>
              <w:ind w:right="-119"/>
            </w:pPr>
            <w:r>
              <w:t>Прочие</w:t>
            </w:r>
          </w:p>
        </w:tc>
        <w:tc>
          <w:tcPr>
            <w:tcW w:w="1184" w:type="dxa"/>
            <w:vAlign w:val="center"/>
          </w:tcPr>
          <w:p>
            <w:pPr>
              <w:jc w:val="right"/>
            </w:pPr>
            <w:r>
              <w:t>1 223,39</w:t>
            </w:r>
          </w:p>
        </w:tc>
        <w:tc>
          <w:tcPr>
            <w:tcW w:w="1096" w:type="dxa"/>
            <w:vAlign w:val="center"/>
          </w:tcPr>
          <w:p>
            <w:pPr>
              <w:jc w:val="right"/>
            </w:pPr>
            <w:r>
              <w:t>460,17</w:t>
            </w:r>
          </w:p>
        </w:tc>
        <w:tc>
          <w:tcPr>
            <w:tcW w:w="1129" w:type="dxa"/>
            <w:shd w:val="clear" w:color="auto" w:fill="auto"/>
            <w:vAlign w:val="center"/>
          </w:tcPr>
          <w:p>
            <w:pPr>
              <w:jc w:val="right"/>
            </w:pPr>
            <w:r>
              <w:t>2 383,00</w:t>
            </w:r>
          </w:p>
        </w:tc>
        <w:tc>
          <w:tcPr>
            <w:tcW w:w="1132" w:type="dxa"/>
            <w:shd w:val="clear" w:color="auto" w:fill="auto"/>
            <w:vAlign w:val="center"/>
          </w:tcPr>
          <w:p>
            <w:pPr>
              <w:jc w:val="right"/>
            </w:pPr>
            <w:r>
              <w:t>2 140,28</w:t>
            </w:r>
          </w:p>
        </w:tc>
        <w:tc>
          <w:tcPr>
            <w:tcW w:w="1066" w:type="dxa"/>
            <w:shd w:val="clear" w:color="auto" w:fill="auto"/>
            <w:vAlign w:val="center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-242,72</w:t>
            </w:r>
          </w:p>
        </w:tc>
        <w:tc>
          <w:tcPr>
            <w:tcW w:w="733" w:type="dxa"/>
            <w:shd w:val="clear" w:color="auto" w:fill="auto"/>
            <w:vAlign w:val="center"/>
          </w:tcPr>
          <w:p>
            <w:pPr>
              <w:pStyle w:val="a5"/>
              <w:spacing w:after="0"/>
              <w:ind w:left="-57" w:right="-57"/>
              <w:jc w:val="center"/>
            </w:pPr>
            <w:r>
              <w:t>89,8</w:t>
            </w:r>
          </w:p>
        </w:tc>
      </w:tr>
    </w:tbl>
    <w:p>
      <w:pPr>
        <w:pStyle w:val="a5"/>
        <w:spacing w:before="200" w:after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Удельный вес статьи в структуре общих доходов составляет 0,4%, налоговых и неналоговых доходах – 1,7%.</w:t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Норматив зачисления в бюджет ЗАТО Северск 55%.</w:t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Основными плательщиками платы за негативное воздействие на окружающую среду являются АО «Сибирский химический комбинат» и АО «ОТЭК». </w:t>
      </w:r>
    </w:p>
    <w:p>
      <w:pPr>
        <w:pStyle w:val="a5"/>
        <w:spacing w:after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Главным администратором доходов по данной статье является Управление Федеральной службы по надзору в сфере природопользования по Томской области.</w:t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 сравнению с 2019 годом рост поступлений по статье составил </w:t>
      </w:r>
      <w:r>
        <w:rPr>
          <w:sz w:val="24"/>
          <w:szCs w:val="24"/>
        </w:rPr>
        <w:br/>
        <w:t>6 611,85 тыс.руб. или на 51,0% за счет АО «ОТЭК».</w:t>
      </w:r>
    </w:p>
    <w:p>
      <w:pPr>
        <w:pStyle w:val="a5"/>
        <w:spacing w:before="320" w:after="200"/>
        <w:ind w:firstLine="28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3.2.3. Доходы от оказания платных услуг и компенсации затрат государства</w:t>
      </w:r>
    </w:p>
    <w:p>
      <w:pPr>
        <w:tabs>
          <w:tab w:val="left" w:pos="0"/>
        </w:tabs>
        <w:spacing w:before="12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Прогноз поступлений по статье «Доходы от оказания платных услуг и компенсации затрат государства» составлял 7 590,33 тыс.руб., фактическое исполнение – 7 956,02 тыс.руб., перевыполнение на 365,69 тыс.руб. или на 4,8%.</w:t>
      </w:r>
    </w:p>
    <w:p>
      <w:pPr>
        <w:pStyle w:val="a5"/>
        <w:spacing w:before="120" w:after="60"/>
        <w:ind w:firstLine="709"/>
        <w:jc w:val="both"/>
        <w:rPr>
          <w:sz w:val="24"/>
          <w:szCs w:val="24"/>
        </w:rPr>
      </w:pPr>
    </w:p>
    <w:p>
      <w:pPr>
        <w:pStyle w:val="a5"/>
        <w:spacing w:before="120" w:after="60"/>
        <w:ind w:firstLine="709"/>
        <w:jc w:val="both"/>
        <w:rPr>
          <w:sz w:val="24"/>
          <w:szCs w:val="24"/>
        </w:rPr>
      </w:pPr>
    </w:p>
    <w:p>
      <w:pPr>
        <w:pStyle w:val="a5"/>
        <w:spacing w:before="120" w:after="6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Таблица 33. Анализ поступлений доходов от оказания платных услуг и компенсации затрат государства в 2018 - 2019 гг.</w:t>
      </w:r>
    </w:p>
    <w:tbl>
      <w:tblPr>
        <w:tblW w:w="96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"/>
        <w:gridCol w:w="3250"/>
        <w:gridCol w:w="9"/>
        <w:gridCol w:w="1123"/>
        <w:gridCol w:w="9"/>
        <w:gridCol w:w="1134"/>
        <w:gridCol w:w="1134"/>
        <w:gridCol w:w="1133"/>
        <w:gridCol w:w="1142"/>
        <w:gridCol w:w="709"/>
        <w:gridCol w:w="11"/>
      </w:tblGrid>
      <w:tr>
        <w:trPr>
          <w:gridAfter w:val="1"/>
          <w:wAfter w:w="11" w:type="dxa"/>
          <w:trHeight w:val="247"/>
          <w:jc w:val="center"/>
        </w:trPr>
        <w:tc>
          <w:tcPr>
            <w:tcW w:w="3270" w:type="dxa"/>
            <w:gridSpan w:val="3"/>
            <w:vMerge w:val="restart"/>
            <w:vAlign w:val="center"/>
          </w:tcPr>
          <w:p>
            <w:pPr>
              <w:pStyle w:val="a5"/>
              <w:ind w:right="-2"/>
              <w:jc w:val="center"/>
            </w:pPr>
            <w:r>
              <w:t>Наименование статьи, наименование ГАД</w:t>
            </w:r>
          </w:p>
        </w:tc>
        <w:tc>
          <w:tcPr>
            <w:tcW w:w="1132" w:type="dxa"/>
            <w:gridSpan w:val="2"/>
            <w:vMerge w:val="restart"/>
            <w:vAlign w:val="center"/>
          </w:tcPr>
          <w:p>
            <w:pPr>
              <w:ind w:right="-57"/>
              <w:jc w:val="center"/>
              <w:rPr>
                <w:bCs/>
              </w:rPr>
            </w:pPr>
            <w:r>
              <w:rPr>
                <w:bCs/>
              </w:rPr>
              <w:t>Факт</w:t>
            </w:r>
          </w:p>
          <w:p>
            <w:pPr>
              <w:ind w:left="-158" w:right="-108"/>
              <w:jc w:val="center"/>
            </w:pPr>
            <w:r>
              <w:rPr>
                <w:bCs/>
              </w:rPr>
              <w:t>2018 год, тыс.руб</w:t>
            </w:r>
          </w:p>
        </w:tc>
        <w:tc>
          <w:tcPr>
            <w:tcW w:w="5252" w:type="dxa"/>
            <w:gridSpan w:val="5"/>
            <w:vAlign w:val="center"/>
          </w:tcPr>
          <w:p>
            <w:pPr>
              <w:ind w:left="-108" w:right="-108"/>
              <w:jc w:val="center"/>
            </w:pPr>
            <w:r>
              <w:t>2019 год</w:t>
            </w:r>
          </w:p>
        </w:tc>
      </w:tr>
      <w:tr>
        <w:trPr>
          <w:gridAfter w:val="1"/>
          <w:wAfter w:w="11" w:type="dxa"/>
          <w:trHeight w:val="804"/>
          <w:jc w:val="center"/>
        </w:trPr>
        <w:tc>
          <w:tcPr>
            <w:tcW w:w="3270" w:type="dxa"/>
            <w:gridSpan w:val="3"/>
            <w:vMerge/>
            <w:vAlign w:val="center"/>
          </w:tcPr>
          <w:p>
            <w:pPr>
              <w:pStyle w:val="a5"/>
              <w:spacing w:after="0"/>
              <w:ind w:right="-2"/>
              <w:jc w:val="center"/>
              <w:rPr>
                <w:sz w:val="22"/>
                <w:szCs w:val="22"/>
              </w:rPr>
            </w:pPr>
          </w:p>
        </w:tc>
        <w:tc>
          <w:tcPr>
            <w:tcW w:w="1132" w:type="dxa"/>
            <w:gridSpan w:val="2"/>
            <w:vMerge/>
            <w:vAlign w:val="center"/>
          </w:tcPr>
          <w:p>
            <w:pPr>
              <w:ind w:left="-108" w:right="-108"/>
              <w:jc w:val="center"/>
            </w:pPr>
          </w:p>
        </w:tc>
        <w:tc>
          <w:tcPr>
            <w:tcW w:w="1134" w:type="dxa"/>
          </w:tcPr>
          <w:p>
            <w:pPr>
              <w:ind w:left="-158" w:right="-108"/>
              <w:jc w:val="center"/>
            </w:pPr>
            <w:proofErr w:type="spellStart"/>
            <w:r>
              <w:t>Первона-чальный</w:t>
            </w:r>
            <w:proofErr w:type="spellEnd"/>
            <w:r>
              <w:t xml:space="preserve"> прогноз, тыс</w:t>
            </w:r>
            <w:proofErr w:type="gramStart"/>
            <w:r>
              <w:t>.р</w:t>
            </w:r>
            <w:proofErr w:type="gramEnd"/>
            <w:r>
              <w:t>уб.</w:t>
            </w:r>
          </w:p>
        </w:tc>
        <w:tc>
          <w:tcPr>
            <w:tcW w:w="1134" w:type="dxa"/>
            <w:vAlign w:val="center"/>
          </w:tcPr>
          <w:p>
            <w:pPr>
              <w:ind w:left="-158" w:right="-108"/>
              <w:jc w:val="center"/>
            </w:pPr>
            <w:r>
              <w:t>Уточненный прогноз,</w:t>
            </w:r>
            <w:r>
              <w:br/>
              <w:t>тыс</w:t>
            </w:r>
            <w:proofErr w:type="gramStart"/>
            <w:r>
              <w:t>.р</w:t>
            </w:r>
            <w:proofErr w:type="gramEnd"/>
            <w:r>
              <w:t>уб.</w:t>
            </w:r>
          </w:p>
        </w:tc>
        <w:tc>
          <w:tcPr>
            <w:tcW w:w="1133" w:type="dxa"/>
            <w:vAlign w:val="center"/>
          </w:tcPr>
          <w:p>
            <w:pPr>
              <w:ind w:left="-108" w:right="-108"/>
              <w:jc w:val="center"/>
            </w:pPr>
            <w:r>
              <w:t xml:space="preserve">Факт, </w:t>
            </w:r>
            <w:r>
              <w:br/>
              <w:t>тыс.руб.</w:t>
            </w:r>
          </w:p>
        </w:tc>
        <w:tc>
          <w:tcPr>
            <w:tcW w:w="1142" w:type="dxa"/>
            <w:vAlign w:val="center"/>
          </w:tcPr>
          <w:p>
            <w:pPr>
              <w:pStyle w:val="a5"/>
              <w:tabs>
                <w:tab w:val="left" w:pos="-108"/>
                <w:tab w:val="left" w:pos="-77"/>
              </w:tabs>
              <w:spacing w:after="0"/>
              <w:ind w:left="-108" w:right="-108"/>
              <w:jc w:val="center"/>
            </w:pPr>
            <w:r>
              <w:t>Отклонение</w:t>
            </w:r>
          </w:p>
          <w:p>
            <w:pPr>
              <w:pStyle w:val="a5"/>
              <w:tabs>
                <w:tab w:val="left" w:pos="-108"/>
                <w:tab w:val="left" w:pos="-77"/>
              </w:tabs>
              <w:spacing w:after="0"/>
              <w:ind w:left="-108" w:right="-108"/>
              <w:jc w:val="center"/>
            </w:pPr>
            <w:r>
              <w:t>тыс.руб.</w:t>
            </w:r>
          </w:p>
        </w:tc>
        <w:tc>
          <w:tcPr>
            <w:tcW w:w="709" w:type="dxa"/>
            <w:vAlign w:val="center"/>
          </w:tcPr>
          <w:p>
            <w:pPr>
              <w:pStyle w:val="a5"/>
              <w:tabs>
                <w:tab w:val="left" w:pos="-192"/>
                <w:tab w:val="left" w:pos="-77"/>
              </w:tabs>
              <w:spacing w:after="0"/>
              <w:ind w:left="-108" w:right="-108"/>
              <w:jc w:val="center"/>
            </w:pPr>
            <w:r>
              <w:t>%</w:t>
            </w:r>
          </w:p>
          <w:p>
            <w:pPr>
              <w:pStyle w:val="a5"/>
              <w:tabs>
                <w:tab w:val="left" w:pos="-192"/>
                <w:tab w:val="left" w:pos="0"/>
              </w:tabs>
              <w:spacing w:after="0"/>
              <w:ind w:left="-108" w:right="-108"/>
              <w:jc w:val="center"/>
            </w:pPr>
            <w:proofErr w:type="spellStart"/>
            <w:proofErr w:type="gramStart"/>
            <w:r>
              <w:t>испол-нения</w:t>
            </w:r>
            <w:proofErr w:type="spellEnd"/>
            <w:proofErr w:type="gramEnd"/>
          </w:p>
        </w:tc>
      </w:tr>
      <w:tr>
        <w:trPr>
          <w:gridBefore w:val="1"/>
          <w:wBefore w:w="11" w:type="dxa"/>
          <w:trHeight w:val="141"/>
          <w:jc w:val="center"/>
        </w:trPr>
        <w:tc>
          <w:tcPr>
            <w:tcW w:w="3250" w:type="dxa"/>
            <w:vAlign w:val="center"/>
          </w:tcPr>
          <w:p>
            <w:pPr>
              <w:pStyle w:val="a5"/>
              <w:tabs>
                <w:tab w:val="left" w:pos="3966"/>
              </w:tabs>
              <w:spacing w:after="0"/>
              <w:ind w:right="-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gridSpan w:val="2"/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143" w:type="dxa"/>
            <w:gridSpan w:val="2"/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133" w:type="dxa"/>
            <w:shd w:val="clear" w:color="auto" w:fill="auto"/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142" w:type="dxa"/>
            <w:shd w:val="clear" w:color="auto" w:fill="auto"/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6=5-4</w:t>
            </w:r>
          </w:p>
        </w:tc>
        <w:tc>
          <w:tcPr>
            <w:tcW w:w="720" w:type="dxa"/>
            <w:gridSpan w:val="2"/>
            <w:shd w:val="clear" w:color="auto" w:fill="auto"/>
            <w:vAlign w:val="center"/>
          </w:tcPr>
          <w:p>
            <w:pPr>
              <w:pStyle w:val="a5"/>
              <w:spacing w:after="0"/>
              <w:ind w:left="-57" w:right="-5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7=5/4</w:t>
            </w:r>
          </w:p>
        </w:tc>
      </w:tr>
      <w:tr>
        <w:trPr>
          <w:gridBefore w:val="1"/>
          <w:wBefore w:w="11" w:type="dxa"/>
          <w:trHeight w:val="281"/>
          <w:jc w:val="center"/>
        </w:trPr>
        <w:tc>
          <w:tcPr>
            <w:tcW w:w="3250" w:type="dxa"/>
            <w:vAlign w:val="center"/>
          </w:tcPr>
          <w:p>
            <w:pPr>
              <w:pStyle w:val="a5"/>
              <w:tabs>
                <w:tab w:val="left" w:pos="3966"/>
              </w:tabs>
              <w:spacing w:after="0"/>
              <w:ind w:right="-119"/>
            </w:pPr>
            <w:r>
              <w:t xml:space="preserve">Доходы от оказания платных услуг и компенсации затрат государства, </w:t>
            </w:r>
          </w:p>
          <w:p>
            <w:pPr>
              <w:pStyle w:val="a5"/>
              <w:tabs>
                <w:tab w:val="left" w:pos="3966"/>
              </w:tabs>
              <w:spacing w:after="0"/>
              <w:ind w:right="-119"/>
            </w:pPr>
            <w:r>
              <w:t>из них:</w:t>
            </w:r>
          </w:p>
        </w:tc>
        <w:tc>
          <w:tcPr>
            <w:tcW w:w="1132" w:type="dxa"/>
            <w:gridSpan w:val="2"/>
            <w:vAlign w:val="center"/>
          </w:tcPr>
          <w:p>
            <w:pPr>
              <w:jc w:val="right"/>
            </w:pPr>
            <w:r>
              <w:t>9 029,46</w:t>
            </w:r>
          </w:p>
        </w:tc>
        <w:tc>
          <w:tcPr>
            <w:tcW w:w="1143" w:type="dxa"/>
            <w:gridSpan w:val="2"/>
            <w:vAlign w:val="center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7 104,00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7 590,33</w:t>
            </w:r>
          </w:p>
        </w:tc>
        <w:tc>
          <w:tcPr>
            <w:tcW w:w="1133" w:type="dxa"/>
            <w:shd w:val="clear" w:color="auto" w:fill="auto"/>
            <w:vAlign w:val="center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7 956,02</w:t>
            </w:r>
          </w:p>
        </w:tc>
        <w:tc>
          <w:tcPr>
            <w:tcW w:w="1142" w:type="dxa"/>
            <w:shd w:val="clear" w:color="auto" w:fill="auto"/>
            <w:vAlign w:val="center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365,69</w:t>
            </w:r>
          </w:p>
        </w:tc>
        <w:tc>
          <w:tcPr>
            <w:tcW w:w="720" w:type="dxa"/>
            <w:gridSpan w:val="2"/>
            <w:shd w:val="clear" w:color="auto" w:fill="auto"/>
            <w:vAlign w:val="center"/>
          </w:tcPr>
          <w:p>
            <w:pPr>
              <w:pStyle w:val="a5"/>
              <w:spacing w:after="0"/>
              <w:ind w:left="-57" w:right="-57"/>
              <w:jc w:val="center"/>
            </w:pPr>
            <w:r>
              <w:t>104,8</w:t>
            </w:r>
          </w:p>
        </w:tc>
      </w:tr>
      <w:tr>
        <w:trPr>
          <w:gridBefore w:val="1"/>
          <w:wBefore w:w="11" w:type="dxa"/>
          <w:trHeight w:val="311"/>
          <w:jc w:val="center"/>
        </w:trPr>
        <w:tc>
          <w:tcPr>
            <w:tcW w:w="3250" w:type="dxa"/>
            <w:vAlign w:val="center"/>
          </w:tcPr>
          <w:p>
            <w:pPr>
              <w:pStyle w:val="a5"/>
              <w:tabs>
                <w:tab w:val="left" w:pos="3966"/>
              </w:tabs>
              <w:spacing w:after="0"/>
              <w:ind w:right="-119"/>
            </w:pPr>
            <w:r>
              <w:t>Управление образования</w:t>
            </w:r>
          </w:p>
        </w:tc>
        <w:tc>
          <w:tcPr>
            <w:tcW w:w="1132" w:type="dxa"/>
            <w:gridSpan w:val="2"/>
            <w:vAlign w:val="center"/>
          </w:tcPr>
          <w:p>
            <w:pPr>
              <w:jc w:val="right"/>
            </w:pPr>
            <w:r>
              <w:t>4 126,55</w:t>
            </w:r>
          </w:p>
        </w:tc>
        <w:tc>
          <w:tcPr>
            <w:tcW w:w="1143" w:type="dxa"/>
            <w:gridSpan w:val="2"/>
            <w:vAlign w:val="center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1 949,70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2 436,03</w:t>
            </w:r>
          </w:p>
        </w:tc>
        <w:tc>
          <w:tcPr>
            <w:tcW w:w="1133" w:type="dxa"/>
            <w:shd w:val="clear" w:color="auto" w:fill="auto"/>
            <w:vAlign w:val="center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2 495,33</w:t>
            </w:r>
          </w:p>
        </w:tc>
        <w:tc>
          <w:tcPr>
            <w:tcW w:w="1142" w:type="dxa"/>
            <w:shd w:val="clear" w:color="auto" w:fill="auto"/>
            <w:vAlign w:val="center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59,30</w:t>
            </w:r>
          </w:p>
        </w:tc>
        <w:tc>
          <w:tcPr>
            <w:tcW w:w="720" w:type="dxa"/>
            <w:gridSpan w:val="2"/>
            <w:shd w:val="clear" w:color="auto" w:fill="auto"/>
            <w:vAlign w:val="center"/>
          </w:tcPr>
          <w:p>
            <w:pPr>
              <w:pStyle w:val="a5"/>
              <w:spacing w:after="0"/>
              <w:ind w:left="-57" w:right="-57"/>
              <w:jc w:val="center"/>
            </w:pPr>
            <w:r>
              <w:t>102,4</w:t>
            </w:r>
          </w:p>
        </w:tc>
      </w:tr>
      <w:tr>
        <w:trPr>
          <w:gridBefore w:val="1"/>
          <w:wBefore w:w="11" w:type="dxa"/>
          <w:trHeight w:val="281"/>
          <w:jc w:val="center"/>
        </w:trPr>
        <w:tc>
          <w:tcPr>
            <w:tcW w:w="3250" w:type="dxa"/>
            <w:vAlign w:val="center"/>
          </w:tcPr>
          <w:p>
            <w:pPr>
              <w:pStyle w:val="a5"/>
              <w:tabs>
                <w:tab w:val="left" w:pos="3966"/>
              </w:tabs>
              <w:spacing w:after="0"/>
              <w:ind w:right="-119"/>
            </w:pPr>
            <w:r>
              <w:t>Управление имущественных отношений</w:t>
            </w:r>
          </w:p>
        </w:tc>
        <w:tc>
          <w:tcPr>
            <w:tcW w:w="1132" w:type="dxa"/>
            <w:gridSpan w:val="2"/>
            <w:vAlign w:val="center"/>
          </w:tcPr>
          <w:p>
            <w:pPr>
              <w:jc w:val="right"/>
            </w:pPr>
            <w:r>
              <w:t>1 816,89</w:t>
            </w:r>
          </w:p>
        </w:tc>
        <w:tc>
          <w:tcPr>
            <w:tcW w:w="1143" w:type="dxa"/>
            <w:gridSpan w:val="2"/>
            <w:vAlign w:val="center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2 009,30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2 009,30</w:t>
            </w:r>
          </w:p>
        </w:tc>
        <w:tc>
          <w:tcPr>
            <w:tcW w:w="1133" w:type="dxa"/>
            <w:shd w:val="clear" w:color="auto" w:fill="auto"/>
            <w:vAlign w:val="center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2 407,37</w:t>
            </w:r>
          </w:p>
        </w:tc>
        <w:tc>
          <w:tcPr>
            <w:tcW w:w="1142" w:type="dxa"/>
            <w:shd w:val="clear" w:color="auto" w:fill="auto"/>
            <w:vAlign w:val="center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398,07</w:t>
            </w:r>
          </w:p>
        </w:tc>
        <w:tc>
          <w:tcPr>
            <w:tcW w:w="720" w:type="dxa"/>
            <w:gridSpan w:val="2"/>
            <w:shd w:val="clear" w:color="auto" w:fill="auto"/>
            <w:vAlign w:val="center"/>
          </w:tcPr>
          <w:p>
            <w:pPr>
              <w:pStyle w:val="a5"/>
              <w:spacing w:after="0"/>
              <w:ind w:left="-57" w:right="-57"/>
              <w:jc w:val="center"/>
            </w:pPr>
            <w:r>
              <w:t>119,8</w:t>
            </w:r>
          </w:p>
        </w:tc>
      </w:tr>
      <w:tr>
        <w:trPr>
          <w:gridBefore w:val="1"/>
          <w:wBefore w:w="11" w:type="dxa"/>
          <w:trHeight w:val="382"/>
          <w:jc w:val="center"/>
        </w:trPr>
        <w:tc>
          <w:tcPr>
            <w:tcW w:w="3250" w:type="dxa"/>
            <w:vAlign w:val="center"/>
          </w:tcPr>
          <w:p>
            <w:pPr>
              <w:pStyle w:val="a5"/>
              <w:tabs>
                <w:tab w:val="left" w:pos="3966"/>
              </w:tabs>
              <w:spacing w:after="0"/>
              <w:ind w:right="-119"/>
            </w:pPr>
            <w:r>
              <w:t xml:space="preserve">Администрация ЗАТО </w:t>
            </w:r>
            <w:proofErr w:type="spellStart"/>
            <w:r>
              <w:t>Северк</w:t>
            </w:r>
            <w:proofErr w:type="spellEnd"/>
            <w:r>
              <w:t xml:space="preserve"> </w:t>
            </w:r>
          </w:p>
        </w:tc>
        <w:tc>
          <w:tcPr>
            <w:tcW w:w="1132" w:type="dxa"/>
            <w:gridSpan w:val="2"/>
            <w:vAlign w:val="center"/>
          </w:tcPr>
          <w:p>
            <w:pPr>
              <w:jc w:val="right"/>
            </w:pPr>
            <w:r>
              <w:t>3 048,70</w:t>
            </w:r>
          </w:p>
        </w:tc>
        <w:tc>
          <w:tcPr>
            <w:tcW w:w="1143" w:type="dxa"/>
            <w:gridSpan w:val="2"/>
            <w:vAlign w:val="center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3 145,00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3 145,00</w:t>
            </w:r>
          </w:p>
        </w:tc>
        <w:tc>
          <w:tcPr>
            <w:tcW w:w="1133" w:type="dxa"/>
            <w:shd w:val="clear" w:color="auto" w:fill="auto"/>
            <w:vAlign w:val="center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2 961,75</w:t>
            </w:r>
          </w:p>
        </w:tc>
        <w:tc>
          <w:tcPr>
            <w:tcW w:w="1142" w:type="dxa"/>
            <w:shd w:val="clear" w:color="auto" w:fill="auto"/>
            <w:vAlign w:val="center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-183,25</w:t>
            </w:r>
          </w:p>
        </w:tc>
        <w:tc>
          <w:tcPr>
            <w:tcW w:w="720" w:type="dxa"/>
            <w:gridSpan w:val="2"/>
            <w:shd w:val="clear" w:color="auto" w:fill="auto"/>
            <w:vAlign w:val="center"/>
          </w:tcPr>
          <w:p>
            <w:pPr>
              <w:pStyle w:val="a5"/>
              <w:spacing w:after="0"/>
              <w:ind w:left="-57" w:right="-57"/>
              <w:jc w:val="center"/>
            </w:pPr>
            <w:r>
              <w:t>94,2</w:t>
            </w:r>
          </w:p>
        </w:tc>
      </w:tr>
    </w:tbl>
    <w:p>
      <w:pPr>
        <w:pStyle w:val="a5"/>
        <w:spacing w:before="120" w:after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Удельный вес статьи в общей структуре фактически поступивших доходов составляет 0,2%, налоговых и неналоговых доходах - 0,7%.</w:t>
      </w:r>
    </w:p>
    <w:p>
      <w:pPr>
        <w:pStyle w:val="a8"/>
        <w:spacing w:after="0"/>
        <w:ind w:left="0" w:firstLine="720"/>
        <w:jc w:val="both"/>
        <w:rPr>
          <w:sz w:val="24"/>
          <w:szCs w:val="24"/>
        </w:rPr>
      </w:pPr>
      <w:r>
        <w:rPr>
          <w:sz w:val="24"/>
          <w:szCs w:val="24"/>
        </w:rPr>
        <w:t>Норматив зачисления в бюджет ЗАТО Северск 100%.</w:t>
      </w:r>
    </w:p>
    <w:p>
      <w:pPr>
        <w:pStyle w:val="a5"/>
        <w:spacing w:after="0"/>
        <w:ind w:firstLine="720"/>
        <w:jc w:val="both"/>
        <w:rPr>
          <w:color w:val="000000" w:themeColor="text1"/>
          <w:sz w:val="24"/>
          <w:szCs w:val="24"/>
        </w:rPr>
      </w:pPr>
      <w:r>
        <w:rPr>
          <w:sz w:val="24"/>
          <w:szCs w:val="24"/>
        </w:rPr>
        <w:t xml:space="preserve">Поступления обеспечены </w:t>
      </w:r>
      <w:r>
        <w:rPr>
          <w:color w:val="000000" w:themeColor="text1"/>
          <w:sz w:val="24"/>
          <w:szCs w:val="24"/>
        </w:rPr>
        <w:t>за счет доходов: от оказания платных услуг (работ) муниципальными казенными учреждениям (главный администратор - Управление образования), доходов, понесенных в связи с эксплуатацией имущества городских округов (главные администраторы - Управление имущественных отношений, УЖКХ ТиС, Администрация ЗАТО Северск, Счетная палата), а также компенсации затрат (возврат дебиторской задолженности прошлых лет и прочая компенсация затрат), главные администраторы – УЖКХ ТиС, Администрация ЗАТО Северск, Управление имущественных отношений, Управление образования, Дума ЗАТО Северск).</w:t>
      </w:r>
    </w:p>
    <w:p>
      <w:pPr>
        <w:pStyle w:val="a8"/>
        <w:spacing w:after="0"/>
        <w:ind w:left="0" w:firstLine="720"/>
        <w:jc w:val="both"/>
        <w:rPr>
          <w:sz w:val="24"/>
          <w:szCs w:val="24"/>
        </w:rPr>
      </w:pPr>
      <w:r>
        <w:rPr>
          <w:sz w:val="24"/>
          <w:szCs w:val="24"/>
        </w:rPr>
        <w:t>По сравнению с 2018 годом сокращение поступлений по статье составило 1 073,44 тыс.руб. или на 11,9%.</w:t>
      </w:r>
    </w:p>
    <w:p>
      <w:pPr>
        <w:pStyle w:val="a5"/>
        <w:spacing w:after="0"/>
        <w:ind w:firstLine="720"/>
        <w:jc w:val="center"/>
        <w:rPr>
          <w:b/>
          <w:highlight w:val="yellow"/>
        </w:rPr>
      </w:pPr>
    </w:p>
    <w:p>
      <w:pPr>
        <w:pStyle w:val="a5"/>
        <w:spacing w:after="100"/>
        <w:ind w:firstLine="56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3.2.4. Доходы от продажи материальных и нематериальных активов</w:t>
      </w:r>
    </w:p>
    <w:p>
      <w:pPr>
        <w:pStyle w:val="a8"/>
        <w:spacing w:after="0"/>
        <w:ind w:left="0" w:firstLine="720"/>
        <w:jc w:val="both"/>
        <w:rPr>
          <w:color w:val="000000" w:themeColor="text1"/>
          <w:sz w:val="24"/>
          <w:szCs w:val="24"/>
        </w:rPr>
      </w:pPr>
      <w:r>
        <w:rPr>
          <w:sz w:val="24"/>
          <w:szCs w:val="24"/>
        </w:rPr>
        <w:t xml:space="preserve">Прогноз поступлений по статье «Доходы от продажи материальных и нематериальных активов» </w:t>
      </w:r>
      <w:r>
        <w:rPr>
          <w:color w:val="000000" w:themeColor="text1"/>
          <w:sz w:val="24"/>
          <w:szCs w:val="24"/>
        </w:rPr>
        <w:t>составлял 20 343,08 тыс.руб., фактическое исполнение – 20 510,46 тыс.руб., перевыполнение на 167,38 тыс.руб. или на 0,8%.</w:t>
      </w:r>
    </w:p>
    <w:p>
      <w:pPr>
        <w:spacing w:before="120" w:after="6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Таблица 34. Анализ поступления доходов от продажи материальных и нематериальных активов в 2018-2019 гг.</w:t>
      </w:r>
    </w:p>
    <w:tbl>
      <w:tblPr>
        <w:tblW w:w="94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798"/>
        <w:gridCol w:w="1134"/>
        <w:gridCol w:w="1124"/>
        <w:gridCol w:w="1175"/>
        <w:gridCol w:w="1134"/>
        <w:gridCol w:w="1134"/>
        <w:gridCol w:w="992"/>
      </w:tblGrid>
      <w:tr>
        <w:trPr>
          <w:trHeight w:val="247"/>
          <w:jc w:val="center"/>
        </w:trPr>
        <w:tc>
          <w:tcPr>
            <w:tcW w:w="2798" w:type="dxa"/>
            <w:vMerge w:val="restart"/>
            <w:vAlign w:val="center"/>
          </w:tcPr>
          <w:p>
            <w:pPr>
              <w:pStyle w:val="a5"/>
              <w:ind w:right="-2"/>
              <w:jc w:val="center"/>
            </w:pPr>
            <w:r>
              <w:t xml:space="preserve">Наименование </w:t>
            </w:r>
          </w:p>
        </w:tc>
        <w:tc>
          <w:tcPr>
            <w:tcW w:w="1134" w:type="dxa"/>
            <w:vMerge w:val="restart"/>
            <w:vAlign w:val="center"/>
          </w:tcPr>
          <w:p>
            <w:pPr>
              <w:ind w:right="-57"/>
              <w:jc w:val="center"/>
              <w:rPr>
                <w:bCs/>
              </w:rPr>
            </w:pPr>
            <w:r>
              <w:rPr>
                <w:bCs/>
              </w:rPr>
              <w:t>Факт</w:t>
            </w:r>
          </w:p>
          <w:p>
            <w:pPr>
              <w:ind w:left="-158" w:right="-108"/>
              <w:jc w:val="center"/>
            </w:pPr>
            <w:r>
              <w:rPr>
                <w:bCs/>
              </w:rPr>
              <w:t>2018 год, тыс.руб.</w:t>
            </w:r>
          </w:p>
        </w:tc>
        <w:tc>
          <w:tcPr>
            <w:tcW w:w="5559" w:type="dxa"/>
            <w:gridSpan w:val="5"/>
            <w:vAlign w:val="center"/>
          </w:tcPr>
          <w:p>
            <w:pPr>
              <w:ind w:left="-108" w:right="-108"/>
              <w:jc w:val="center"/>
            </w:pPr>
            <w:r>
              <w:t>2019 год</w:t>
            </w:r>
          </w:p>
        </w:tc>
      </w:tr>
      <w:tr>
        <w:trPr>
          <w:trHeight w:val="804"/>
          <w:jc w:val="center"/>
        </w:trPr>
        <w:tc>
          <w:tcPr>
            <w:tcW w:w="2798" w:type="dxa"/>
            <w:vMerge/>
            <w:vAlign w:val="center"/>
          </w:tcPr>
          <w:p>
            <w:pPr>
              <w:pStyle w:val="a5"/>
              <w:spacing w:after="0"/>
              <w:ind w:right="-2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vAlign w:val="center"/>
          </w:tcPr>
          <w:p>
            <w:pPr>
              <w:ind w:left="-108" w:right="-108"/>
              <w:jc w:val="center"/>
            </w:pPr>
          </w:p>
        </w:tc>
        <w:tc>
          <w:tcPr>
            <w:tcW w:w="1124" w:type="dxa"/>
          </w:tcPr>
          <w:p>
            <w:pPr>
              <w:ind w:left="-158" w:right="-108"/>
              <w:jc w:val="center"/>
            </w:pPr>
            <w:proofErr w:type="spellStart"/>
            <w:r>
              <w:t>Первона-чальный</w:t>
            </w:r>
            <w:proofErr w:type="spellEnd"/>
            <w:r>
              <w:t xml:space="preserve"> прогноз, тыс</w:t>
            </w:r>
            <w:proofErr w:type="gramStart"/>
            <w:r>
              <w:t>.р</w:t>
            </w:r>
            <w:proofErr w:type="gramEnd"/>
            <w:r>
              <w:t>уб.</w:t>
            </w:r>
          </w:p>
        </w:tc>
        <w:tc>
          <w:tcPr>
            <w:tcW w:w="1175" w:type="dxa"/>
            <w:vAlign w:val="center"/>
          </w:tcPr>
          <w:p>
            <w:pPr>
              <w:ind w:left="-250" w:right="-108" w:firstLine="92"/>
              <w:jc w:val="center"/>
            </w:pPr>
            <w:r>
              <w:t>Уточненный прогноз,</w:t>
            </w:r>
            <w:r>
              <w:br/>
              <w:t>тыс</w:t>
            </w:r>
            <w:proofErr w:type="gramStart"/>
            <w:r>
              <w:t>.р</w:t>
            </w:r>
            <w:proofErr w:type="gramEnd"/>
            <w:r>
              <w:t>уб.</w:t>
            </w:r>
          </w:p>
        </w:tc>
        <w:tc>
          <w:tcPr>
            <w:tcW w:w="1134" w:type="dxa"/>
            <w:vAlign w:val="center"/>
          </w:tcPr>
          <w:p>
            <w:pPr>
              <w:ind w:left="-108" w:right="-108"/>
              <w:jc w:val="center"/>
            </w:pPr>
            <w:r>
              <w:t xml:space="preserve">Факт, </w:t>
            </w:r>
            <w:r>
              <w:br/>
              <w:t>тыс.руб.</w:t>
            </w:r>
          </w:p>
        </w:tc>
        <w:tc>
          <w:tcPr>
            <w:tcW w:w="1134" w:type="dxa"/>
            <w:vAlign w:val="center"/>
          </w:tcPr>
          <w:p>
            <w:pPr>
              <w:pStyle w:val="a5"/>
              <w:tabs>
                <w:tab w:val="left" w:pos="-108"/>
                <w:tab w:val="left" w:pos="-77"/>
              </w:tabs>
              <w:spacing w:after="0"/>
              <w:ind w:left="-108" w:right="-108"/>
              <w:jc w:val="center"/>
            </w:pPr>
            <w:r>
              <w:t>Отклонение</w:t>
            </w:r>
          </w:p>
          <w:p>
            <w:pPr>
              <w:pStyle w:val="a5"/>
              <w:tabs>
                <w:tab w:val="left" w:pos="-108"/>
                <w:tab w:val="left" w:pos="-77"/>
              </w:tabs>
              <w:spacing w:after="0"/>
              <w:ind w:left="-108" w:right="-108"/>
              <w:jc w:val="center"/>
            </w:pPr>
            <w:r>
              <w:t>тыс.руб.</w:t>
            </w:r>
          </w:p>
        </w:tc>
        <w:tc>
          <w:tcPr>
            <w:tcW w:w="992" w:type="dxa"/>
            <w:vAlign w:val="center"/>
          </w:tcPr>
          <w:p>
            <w:pPr>
              <w:pStyle w:val="a5"/>
              <w:tabs>
                <w:tab w:val="left" w:pos="-192"/>
                <w:tab w:val="left" w:pos="-77"/>
              </w:tabs>
              <w:spacing w:after="0"/>
              <w:ind w:left="-108" w:right="-108"/>
              <w:jc w:val="center"/>
            </w:pPr>
            <w:r>
              <w:t>%</w:t>
            </w:r>
          </w:p>
          <w:p>
            <w:pPr>
              <w:pStyle w:val="a5"/>
              <w:tabs>
                <w:tab w:val="left" w:pos="-192"/>
                <w:tab w:val="left" w:pos="0"/>
              </w:tabs>
              <w:spacing w:after="0"/>
              <w:ind w:left="-108" w:right="-108"/>
              <w:jc w:val="center"/>
            </w:pPr>
            <w:proofErr w:type="spellStart"/>
            <w:proofErr w:type="gramStart"/>
            <w:r>
              <w:t>испол-нения</w:t>
            </w:r>
            <w:proofErr w:type="spellEnd"/>
            <w:proofErr w:type="gramEnd"/>
          </w:p>
        </w:tc>
      </w:tr>
      <w:tr>
        <w:trPr>
          <w:trHeight w:val="243"/>
          <w:jc w:val="center"/>
        </w:trPr>
        <w:tc>
          <w:tcPr>
            <w:tcW w:w="2798" w:type="dxa"/>
            <w:vAlign w:val="center"/>
          </w:tcPr>
          <w:p>
            <w:pPr>
              <w:pStyle w:val="a5"/>
              <w:tabs>
                <w:tab w:val="left" w:pos="3966"/>
              </w:tabs>
              <w:spacing w:after="0"/>
              <w:ind w:right="-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124" w:type="dxa"/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175" w:type="dxa"/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6=5-4</w:t>
            </w:r>
          </w:p>
        </w:tc>
        <w:tc>
          <w:tcPr>
            <w:tcW w:w="992" w:type="dxa"/>
            <w:vAlign w:val="center"/>
          </w:tcPr>
          <w:p>
            <w:pPr>
              <w:pStyle w:val="a5"/>
              <w:spacing w:after="0"/>
              <w:ind w:left="-57" w:right="-5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7=5/4</w:t>
            </w:r>
          </w:p>
        </w:tc>
      </w:tr>
      <w:tr>
        <w:trPr>
          <w:trHeight w:val="665"/>
          <w:jc w:val="center"/>
        </w:trPr>
        <w:tc>
          <w:tcPr>
            <w:tcW w:w="2798" w:type="dxa"/>
            <w:vAlign w:val="center"/>
          </w:tcPr>
          <w:p>
            <w:r>
              <w:t>Доходы от продажи материальных и нематериальных активов</w:t>
            </w:r>
          </w:p>
        </w:tc>
        <w:tc>
          <w:tcPr>
            <w:tcW w:w="1134" w:type="dxa"/>
            <w:vAlign w:val="center"/>
          </w:tcPr>
          <w:p>
            <w:pPr>
              <w:spacing w:before="40" w:after="40"/>
              <w:ind w:left="-108" w:right="-57"/>
              <w:jc w:val="right"/>
            </w:pPr>
            <w:r>
              <w:t>65 870,71</w:t>
            </w:r>
          </w:p>
        </w:tc>
        <w:tc>
          <w:tcPr>
            <w:tcW w:w="1124" w:type="dxa"/>
            <w:vAlign w:val="center"/>
          </w:tcPr>
          <w:p>
            <w:pPr>
              <w:spacing w:before="40" w:after="40"/>
              <w:ind w:left="-108" w:right="-57"/>
              <w:jc w:val="right"/>
            </w:pPr>
            <w:r>
              <w:t>16 431,64</w:t>
            </w:r>
          </w:p>
        </w:tc>
        <w:tc>
          <w:tcPr>
            <w:tcW w:w="1175" w:type="dxa"/>
            <w:vAlign w:val="center"/>
          </w:tcPr>
          <w:p>
            <w:pPr>
              <w:spacing w:before="40" w:after="40"/>
              <w:ind w:left="-108" w:right="-57"/>
              <w:jc w:val="right"/>
            </w:pPr>
            <w:r>
              <w:t>20 343,08</w:t>
            </w:r>
          </w:p>
        </w:tc>
        <w:tc>
          <w:tcPr>
            <w:tcW w:w="1134" w:type="dxa"/>
            <w:vAlign w:val="center"/>
          </w:tcPr>
          <w:p>
            <w:pPr>
              <w:spacing w:before="40" w:after="40"/>
              <w:ind w:left="-108" w:right="-57"/>
              <w:jc w:val="right"/>
            </w:pPr>
            <w:r>
              <w:t>20 510,46</w:t>
            </w:r>
          </w:p>
        </w:tc>
        <w:tc>
          <w:tcPr>
            <w:tcW w:w="1134" w:type="dxa"/>
            <w:vAlign w:val="center"/>
          </w:tcPr>
          <w:p>
            <w:pPr>
              <w:spacing w:before="40" w:after="40"/>
              <w:ind w:left="-108" w:right="-57"/>
              <w:jc w:val="right"/>
            </w:pPr>
            <w:r>
              <w:t>167,38</w:t>
            </w:r>
          </w:p>
        </w:tc>
        <w:tc>
          <w:tcPr>
            <w:tcW w:w="992" w:type="dxa"/>
            <w:vAlign w:val="center"/>
          </w:tcPr>
          <w:p>
            <w:pPr>
              <w:ind w:left="-108" w:right="-108"/>
              <w:jc w:val="center"/>
            </w:pPr>
            <w:r>
              <w:t>100,8</w:t>
            </w:r>
          </w:p>
        </w:tc>
      </w:tr>
    </w:tbl>
    <w:p>
      <w:pPr>
        <w:pStyle w:val="a5"/>
        <w:spacing w:before="120" w:after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Удельный вес статьи в общей структуре фактически поступивших доходов составляет 0,5%, налоговых и неналоговых доходах – 1,8%.</w:t>
      </w:r>
    </w:p>
    <w:p>
      <w:pPr>
        <w:pStyle w:val="a8"/>
        <w:spacing w:after="0"/>
        <w:ind w:left="0" w:firstLine="720"/>
        <w:jc w:val="both"/>
        <w:rPr>
          <w:sz w:val="24"/>
          <w:szCs w:val="24"/>
        </w:rPr>
      </w:pPr>
      <w:r>
        <w:rPr>
          <w:sz w:val="24"/>
          <w:szCs w:val="24"/>
        </w:rPr>
        <w:t>Норматив зачисления в бюджет ЗАТО Северск 100%.</w:t>
      </w:r>
    </w:p>
    <w:p>
      <w:pPr>
        <w:pStyle w:val="a8"/>
        <w:spacing w:after="0"/>
        <w:ind w:left="0" w:firstLine="720"/>
        <w:jc w:val="both"/>
        <w:rPr>
          <w:sz w:val="24"/>
          <w:szCs w:val="24"/>
        </w:rPr>
      </w:pPr>
      <w:r>
        <w:rPr>
          <w:sz w:val="24"/>
          <w:szCs w:val="24"/>
        </w:rPr>
        <w:t>По сравнению с 2018 годом уменьшение поступлений по статье составило 45 360,25 тыс.руб. или на 68,9%.</w:t>
      </w:r>
    </w:p>
    <w:p>
      <w:pPr>
        <w:pStyle w:val="a5"/>
        <w:spacing w:after="0"/>
        <w:jc w:val="center"/>
        <w:rPr>
          <w:b/>
          <w:i/>
          <w:sz w:val="18"/>
          <w:szCs w:val="18"/>
          <w:highlight w:val="yellow"/>
        </w:rPr>
      </w:pPr>
    </w:p>
    <w:p>
      <w:pPr>
        <w:pStyle w:val="a5"/>
        <w:spacing w:after="0"/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3.2.4.1. Доходы от реализации иного имущества, находящегося </w:t>
      </w:r>
    </w:p>
    <w:p>
      <w:pPr>
        <w:pStyle w:val="a5"/>
        <w:spacing w:after="100"/>
        <w:ind w:firstLine="567"/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в собственности городских округов</w:t>
      </w:r>
    </w:p>
    <w:p>
      <w:pPr>
        <w:pStyle w:val="a8"/>
        <w:spacing w:after="0"/>
        <w:ind w:left="0" w:firstLine="72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Прогноз поступлений по подстатье «Доходы от реализации иного имущества, находящегося в собственности городских округов» составлял 20 093,08 тыс.руб., </w:t>
      </w:r>
      <w:r>
        <w:rPr>
          <w:color w:val="000000" w:themeColor="text1"/>
          <w:sz w:val="24"/>
          <w:szCs w:val="24"/>
        </w:rPr>
        <w:lastRenderedPageBreak/>
        <w:t>фактическое исполнение – 20 302,74 тыс.руб., перевыполнение на 209,66 тыс.руб. или на 1,0%.</w:t>
      </w:r>
    </w:p>
    <w:p>
      <w:pPr>
        <w:pStyle w:val="a8"/>
        <w:spacing w:after="0"/>
        <w:ind w:left="0" w:firstLine="720"/>
        <w:jc w:val="both"/>
        <w:rPr>
          <w:sz w:val="24"/>
          <w:szCs w:val="24"/>
        </w:rPr>
      </w:pPr>
      <w:r>
        <w:rPr>
          <w:sz w:val="24"/>
          <w:szCs w:val="24"/>
        </w:rPr>
        <w:t>Норматив зачисления в бюджет ЗАТО Северск 100%.</w:t>
      </w:r>
    </w:p>
    <w:p>
      <w:pPr>
        <w:pStyle w:val="a8"/>
        <w:spacing w:after="0"/>
        <w:ind w:left="0" w:firstLine="720"/>
        <w:jc w:val="both"/>
        <w:rPr>
          <w:sz w:val="24"/>
          <w:szCs w:val="24"/>
        </w:rPr>
      </w:pPr>
      <w:r>
        <w:rPr>
          <w:sz w:val="24"/>
          <w:szCs w:val="24"/>
        </w:rPr>
        <w:t>Приватизация объектов муниципальной собственности в 2019 году осуществлялась в соответствии с Прогнозным планом, утвержденным Решением Думы ЗАТО Северск от 29.11.2018 № 44/2 «Об утверждении Прогнозного плана (программы) приватизации муниципального имущества ЗАТО Северск на 2019 год» (далее – План приватизации).</w:t>
      </w:r>
    </w:p>
    <w:p>
      <w:pPr>
        <w:suppressAutoHyphens/>
        <w:autoSpaceDE w:val="0"/>
        <w:ind w:firstLine="700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Первоначальный План приватизации на 2019 год содержал 34 объекта муниципального имущества ЗАТО Северск, подлежащих приватизации в 2019 году. </w:t>
      </w:r>
    </w:p>
    <w:p>
      <w:pPr>
        <w:suppressAutoHyphens/>
        <w:autoSpaceDE w:val="0"/>
        <w:ind w:firstLine="700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В течение отчетного года:</w:t>
      </w:r>
    </w:p>
    <w:p>
      <w:pPr>
        <w:suppressAutoHyphens/>
        <w:autoSpaceDE w:val="0"/>
        <w:ind w:firstLine="700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1)</w:t>
      </w:r>
      <w:r>
        <w:rPr>
          <w:sz w:val="24"/>
          <w:szCs w:val="24"/>
          <w:lang w:val="en-US" w:eastAsia="ar-SA"/>
        </w:rPr>
        <w:t> </w:t>
      </w:r>
      <w:r>
        <w:rPr>
          <w:sz w:val="24"/>
          <w:szCs w:val="24"/>
          <w:lang w:eastAsia="ar-SA"/>
        </w:rPr>
        <w:t xml:space="preserve">дополнительно в План приватизации были включены 2 объекта недвижимого имущества ЗАТО Северск и 1 муниципальное предприятие (Решение Думы ЗАТО Северск от 28.02.2019 № 48/7); </w:t>
      </w:r>
    </w:p>
    <w:p>
      <w:pPr>
        <w:suppressAutoHyphens/>
        <w:autoSpaceDE w:val="0"/>
        <w:ind w:firstLine="700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2)</w:t>
      </w:r>
      <w:r>
        <w:rPr>
          <w:sz w:val="24"/>
          <w:szCs w:val="24"/>
          <w:lang w:val="en-US" w:eastAsia="ar-SA"/>
        </w:rPr>
        <w:t> </w:t>
      </w:r>
      <w:r>
        <w:rPr>
          <w:sz w:val="24"/>
          <w:szCs w:val="24"/>
          <w:lang w:eastAsia="ar-SA"/>
        </w:rPr>
        <w:t>из Плана приватизации были исключены 6 объектов, из них 5 объектов недвижимого имущества и 1 объект движимого имущества (Решения Думы ЗАТО Северск от 28.02.2019 № 48/7, от 19.11.2019 № 57/4, от 10.12.2019 № 58/2).</w:t>
      </w:r>
    </w:p>
    <w:p>
      <w:pPr>
        <w:suppressAutoHyphens/>
        <w:autoSpaceDE w:val="0"/>
        <w:ind w:firstLine="700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С учетом изменений в отчетном году приватизации подлежал 31 объект муниципального имущества ЗАТО Северск, в том числе: </w:t>
      </w:r>
    </w:p>
    <w:p>
      <w:pPr>
        <w:shd w:val="clear" w:color="auto" w:fill="FFFFFF"/>
        <w:tabs>
          <w:tab w:val="left" w:pos="6115"/>
        </w:tabs>
        <w:suppressAutoHyphens/>
        <w:ind w:firstLine="700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1) 25 объектов недвижимого имущества;</w:t>
      </w:r>
      <w:r>
        <w:rPr>
          <w:sz w:val="24"/>
          <w:szCs w:val="24"/>
          <w:lang w:eastAsia="ar-SA"/>
        </w:rPr>
        <w:tab/>
      </w:r>
    </w:p>
    <w:p>
      <w:pPr>
        <w:suppressAutoHyphens/>
        <w:autoSpaceDE w:val="0"/>
        <w:ind w:firstLine="700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2) 5 объектов движимого имущества;</w:t>
      </w:r>
    </w:p>
    <w:p>
      <w:pPr>
        <w:suppressAutoHyphens/>
        <w:autoSpaceDE w:val="0"/>
        <w:ind w:firstLine="700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3) 1 муниципальное предприятие.</w:t>
      </w:r>
    </w:p>
    <w:p>
      <w:pPr>
        <w:pStyle w:val="a8"/>
        <w:spacing w:after="0"/>
        <w:ind w:left="0" w:firstLine="720"/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>В 2019 году приватизировано 14 объектов (45,1% от общего количества подлежащих приватизации объектов).</w:t>
      </w:r>
    </w:p>
    <w:p>
      <w:pPr>
        <w:spacing w:before="120" w:after="6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Таблица 35. Анализ поступления доходов от </w:t>
      </w:r>
      <w:r>
        <w:rPr>
          <w:color w:val="000000" w:themeColor="text1"/>
          <w:sz w:val="24"/>
          <w:szCs w:val="24"/>
        </w:rPr>
        <w:t>реализации иного имущества, находящегося в собственности городских округов</w:t>
      </w:r>
      <w:r>
        <w:rPr>
          <w:sz w:val="24"/>
          <w:szCs w:val="24"/>
        </w:rPr>
        <w:t xml:space="preserve"> в 2019 году</w:t>
      </w:r>
    </w:p>
    <w:tbl>
      <w:tblPr>
        <w:tblW w:w="94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077"/>
        <w:gridCol w:w="1124"/>
        <w:gridCol w:w="1144"/>
        <w:gridCol w:w="1134"/>
        <w:gridCol w:w="1134"/>
        <w:gridCol w:w="871"/>
      </w:tblGrid>
      <w:tr>
        <w:trPr>
          <w:trHeight w:val="554"/>
        </w:trPr>
        <w:tc>
          <w:tcPr>
            <w:tcW w:w="4077" w:type="dxa"/>
            <w:vAlign w:val="center"/>
          </w:tcPr>
          <w:p>
            <w:pPr>
              <w:jc w:val="center"/>
            </w:pPr>
            <w:r>
              <w:t xml:space="preserve">Наименование </w:t>
            </w:r>
          </w:p>
        </w:tc>
        <w:tc>
          <w:tcPr>
            <w:tcW w:w="1124" w:type="dxa"/>
          </w:tcPr>
          <w:p>
            <w:pPr>
              <w:ind w:left="-158" w:right="-108"/>
              <w:jc w:val="center"/>
            </w:pPr>
            <w:proofErr w:type="spellStart"/>
            <w:r>
              <w:t>Первона-чальный</w:t>
            </w:r>
            <w:proofErr w:type="spellEnd"/>
            <w:r>
              <w:t xml:space="preserve"> прогноз, тыс</w:t>
            </w:r>
            <w:proofErr w:type="gramStart"/>
            <w:r>
              <w:t>.р</w:t>
            </w:r>
            <w:proofErr w:type="gramEnd"/>
            <w:r>
              <w:t>уб.</w:t>
            </w:r>
          </w:p>
        </w:tc>
        <w:tc>
          <w:tcPr>
            <w:tcW w:w="1144" w:type="dxa"/>
            <w:vAlign w:val="center"/>
          </w:tcPr>
          <w:p>
            <w:pPr>
              <w:ind w:left="-158" w:right="-108"/>
              <w:jc w:val="center"/>
            </w:pPr>
            <w:r>
              <w:t>Уточненный прогноз,</w:t>
            </w:r>
            <w:r>
              <w:br/>
              <w:t>тыс</w:t>
            </w:r>
            <w:proofErr w:type="gramStart"/>
            <w:r>
              <w:t>.р</w:t>
            </w:r>
            <w:proofErr w:type="gramEnd"/>
            <w:r>
              <w:t>уб.</w:t>
            </w:r>
          </w:p>
        </w:tc>
        <w:tc>
          <w:tcPr>
            <w:tcW w:w="1134" w:type="dxa"/>
            <w:vAlign w:val="center"/>
          </w:tcPr>
          <w:p>
            <w:pPr>
              <w:ind w:left="-108" w:right="-108"/>
              <w:jc w:val="center"/>
            </w:pPr>
            <w:r>
              <w:t xml:space="preserve">Факт, </w:t>
            </w:r>
            <w:r>
              <w:br/>
              <w:t>тыс.руб.</w:t>
            </w:r>
          </w:p>
        </w:tc>
        <w:tc>
          <w:tcPr>
            <w:tcW w:w="1134" w:type="dxa"/>
            <w:vAlign w:val="center"/>
          </w:tcPr>
          <w:p>
            <w:pPr>
              <w:pStyle w:val="a5"/>
              <w:tabs>
                <w:tab w:val="left" w:pos="-108"/>
                <w:tab w:val="left" w:pos="-77"/>
              </w:tabs>
              <w:spacing w:after="0"/>
              <w:ind w:left="-108" w:right="-108"/>
              <w:jc w:val="center"/>
            </w:pPr>
            <w:r>
              <w:t>Отклонение</w:t>
            </w:r>
          </w:p>
          <w:p>
            <w:pPr>
              <w:pStyle w:val="a5"/>
              <w:tabs>
                <w:tab w:val="left" w:pos="-108"/>
                <w:tab w:val="left" w:pos="-77"/>
              </w:tabs>
              <w:spacing w:after="0"/>
              <w:ind w:left="-108" w:right="-108"/>
              <w:jc w:val="center"/>
            </w:pPr>
            <w:r>
              <w:t>тыс.руб.</w:t>
            </w:r>
          </w:p>
        </w:tc>
        <w:tc>
          <w:tcPr>
            <w:tcW w:w="871" w:type="dxa"/>
            <w:vAlign w:val="center"/>
          </w:tcPr>
          <w:p>
            <w:pPr>
              <w:pStyle w:val="a5"/>
              <w:tabs>
                <w:tab w:val="left" w:pos="-192"/>
                <w:tab w:val="left" w:pos="-77"/>
              </w:tabs>
              <w:spacing w:after="0"/>
              <w:ind w:left="-108" w:right="-108"/>
              <w:jc w:val="center"/>
            </w:pPr>
            <w:r>
              <w:t>%</w:t>
            </w:r>
          </w:p>
          <w:p>
            <w:pPr>
              <w:pStyle w:val="a5"/>
              <w:tabs>
                <w:tab w:val="left" w:pos="-192"/>
                <w:tab w:val="left" w:pos="0"/>
              </w:tabs>
              <w:spacing w:after="0"/>
              <w:ind w:left="-108" w:right="-108"/>
              <w:jc w:val="center"/>
            </w:pPr>
            <w:proofErr w:type="spellStart"/>
            <w:proofErr w:type="gramStart"/>
            <w:r>
              <w:t>испол-нения</w:t>
            </w:r>
            <w:proofErr w:type="spellEnd"/>
            <w:proofErr w:type="gramEnd"/>
          </w:p>
        </w:tc>
      </w:tr>
      <w:tr>
        <w:trPr>
          <w:trHeight w:val="112"/>
        </w:trPr>
        <w:tc>
          <w:tcPr>
            <w:tcW w:w="4077" w:type="dxa"/>
          </w:tcPr>
          <w:p>
            <w:pPr>
              <w:ind w:right="-10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124" w:type="dxa"/>
            <w:vAlign w:val="center"/>
          </w:tcPr>
          <w:p>
            <w:pPr>
              <w:ind w:left="-108" w:right="-5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144" w:type="dxa"/>
            <w:vAlign w:val="center"/>
          </w:tcPr>
          <w:p>
            <w:pPr>
              <w:ind w:left="-108" w:right="-5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134" w:type="dxa"/>
            <w:vAlign w:val="center"/>
          </w:tcPr>
          <w:p>
            <w:pPr>
              <w:ind w:left="-108" w:right="-5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134" w:type="dxa"/>
            <w:vAlign w:val="center"/>
          </w:tcPr>
          <w:p>
            <w:pPr>
              <w:ind w:left="-108" w:right="-5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5=4-3</w:t>
            </w:r>
          </w:p>
        </w:tc>
        <w:tc>
          <w:tcPr>
            <w:tcW w:w="871" w:type="dxa"/>
            <w:vAlign w:val="center"/>
          </w:tcPr>
          <w:p>
            <w:pPr>
              <w:ind w:left="-108" w:right="-10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6=4/3</w:t>
            </w:r>
          </w:p>
        </w:tc>
      </w:tr>
      <w:tr>
        <w:tc>
          <w:tcPr>
            <w:tcW w:w="4077" w:type="dxa"/>
          </w:tcPr>
          <w:p>
            <w:pPr>
              <w:spacing w:before="40" w:after="40"/>
              <w:ind w:right="-108"/>
            </w:pPr>
            <w:r>
              <w:t xml:space="preserve">Доходы от реализации нежилых помещений, находящихся в муниципальной собственности,  из них: </w:t>
            </w:r>
          </w:p>
        </w:tc>
        <w:tc>
          <w:tcPr>
            <w:tcW w:w="1124" w:type="dxa"/>
            <w:vAlign w:val="center"/>
          </w:tcPr>
          <w:p>
            <w:pPr>
              <w:spacing w:before="40" w:after="40"/>
              <w:ind w:left="-108" w:right="-57"/>
              <w:jc w:val="right"/>
            </w:pPr>
            <w:r>
              <w:t>16 181,64</w:t>
            </w:r>
          </w:p>
        </w:tc>
        <w:tc>
          <w:tcPr>
            <w:tcW w:w="1144" w:type="dxa"/>
            <w:vAlign w:val="center"/>
          </w:tcPr>
          <w:p>
            <w:pPr>
              <w:spacing w:before="40" w:after="40"/>
              <w:ind w:left="-57" w:right="-57"/>
              <w:jc w:val="right"/>
            </w:pPr>
            <w:r>
              <w:t>20 093,08</w:t>
            </w:r>
          </w:p>
        </w:tc>
        <w:tc>
          <w:tcPr>
            <w:tcW w:w="1134" w:type="dxa"/>
            <w:vAlign w:val="center"/>
          </w:tcPr>
          <w:p>
            <w:pPr>
              <w:spacing w:before="40" w:after="40"/>
              <w:ind w:left="-57" w:right="-57"/>
              <w:jc w:val="right"/>
            </w:pPr>
            <w:r>
              <w:t>20 302,74</w:t>
            </w:r>
          </w:p>
        </w:tc>
        <w:tc>
          <w:tcPr>
            <w:tcW w:w="1134" w:type="dxa"/>
            <w:vAlign w:val="center"/>
          </w:tcPr>
          <w:p>
            <w:pPr>
              <w:spacing w:before="40" w:after="40"/>
              <w:ind w:left="-108" w:right="-57"/>
              <w:jc w:val="right"/>
            </w:pPr>
            <w:r>
              <w:t>209,66</w:t>
            </w:r>
          </w:p>
        </w:tc>
        <w:tc>
          <w:tcPr>
            <w:tcW w:w="871" w:type="dxa"/>
            <w:vAlign w:val="center"/>
          </w:tcPr>
          <w:p>
            <w:pPr>
              <w:spacing w:before="40" w:after="40"/>
              <w:ind w:left="-108" w:right="-108"/>
              <w:jc w:val="center"/>
            </w:pPr>
            <w:r>
              <w:t>101,0</w:t>
            </w:r>
          </w:p>
        </w:tc>
      </w:tr>
      <w:tr>
        <w:trPr>
          <w:trHeight w:val="384"/>
        </w:trPr>
        <w:tc>
          <w:tcPr>
            <w:tcW w:w="4077" w:type="dxa"/>
          </w:tcPr>
          <w:p>
            <w:pPr>
              <w:spacing w:before="40"/>
              <w:ind w:right="-108"/>
            </w:pPr>
            <w:r>
              <w:t>на 1 этаже жилого дома по пр</w:t>
            </w:r>
            <w:proofErr w:type="gramStart"/>
            <w:r>
              <w:t>.К</w:t>
            </w:r>
            <w:proofErr w:type="gramEnd"/>
            <w:r>
              <w:t>оммунистическому, 122</w:t>
            </w:r>
          </w:p>
        </w:tc>
        <w:tc>
          <w:tcPr>
            <w:tcW w:w="1124" w:type="dxa"/>
            <w:shd w:val="clear" w:color="auto" w:fill="auto"/>
            <w:vAlign w:val="center"/>
          </w:tcPr>
          <w:p>
            <w:pPr>
              <w:spacing w:before="40" w:after="40"/>
              <w:ind w:left="-108" w:right="-57"/>
              <w:jc w:val="right"/>
            </w:pPr>
            <w:r>
              <w:t>2 349,42</w:t>
            </w:r>
          </w:p>
        </w:tc>
        <w:tc>
          <w:tcPr>
            <w:tcW w:w="1144" w:type="dxa"/>
            <w:shd w:val="clear" w:color="auto" w:fill="auto"/>
            <w:vAlign w:val="center"/>
          </w:tcPr>
          <w:p>
            <w:pPr>
              <w:spacing w:before="40" w:after="40"/>
              <w:ind w:left="-57" w:right="-57"/>
              <w:jc w:val="right"/>
            </w:pPr>
            <w:r>
              <w:t>2 349,42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spacing w:before="40" w:after="40"/>
              <w:ind w:left="-57" w:right="-57"/>
              <w:jc w:val="right"/>
            </w:pPr>
            <w:r>
              <w:t>2 349,42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spacing w:before="40" w:after="40"/>
              <w:ind w:left="-108" w:right="-57"/>
              <w:jc w:val="right"/>
            </w:pPr>
          </w:p>
        </w:tc>
        <w:tc>
          <w:tcPr>
            <w:tcW w:w="871" w:type="dxa"/>
            <w:shd w:val="clear" w:color="auto" w:fill="auto"/>
            <w:vAlign w:val="center"/>
          </w:tcPr>
          <w:p>
            <w:pPr>
              <w:spacing w:before="40" w:after="40"/>
              <w:ind w:left="-108" w:right="-108"/>
              <w:jc w:val="center"/>
            </w:pPr>
            <w:r>
              <w:t>100,0</w:t>
            </w:r>
          </w:p>
        </w:tc>
      </w:tr>
      <w:tr>
        <w:tc>
          <w:tcPr>
            <w:tcW w:w="4077" w:type="dxa"/>
          </w:tcPr>
          <w:p>
            <w:pPr>
              <w:spacing w:before="40" w:after="40"/>
              <w:ind w:right="-108"/>
            </w:pPr>
            <w:r>
              <w:t>по ул. Калинина, д. 39/1</w:t>
            </w:r>
          </w:p>
        </w:tc>
        <w:tc>
          <w:tcPr>
            <w:tcW w:w="1124" w:type="dxa"/>
            <w:shd w:val="clear" w:color="auto" w:fill="auto"/>
            <w:vAlign w:val="center"/>
          </w:tcPr>
          <w:p>
            <w:pPr>
              <w:spacing w:before="40" w:after="40"/>
              <w:ind w:left="-108" w:right="-57"/>
              <w:jc w:val="right"/>
            </w:pPr>
            <w:r>
              <w:t>3 838,45</w:t>
            </w:r>
          </w:p>
        </w:tc>
        <w:tc>
          <w:tcPr>
            <w:tcW w:w="1144" w:type="dxa"/>
            <w:shd w:val="clear" w:color="auto" w:fill="auto"/>
            <w:vAlign w:val="center"/>
          </w:tcPr>
          <w:p>
            <w:pPr>
              <w:spacing w:before="40" w:after="40"/>
              <w:ind w:left="-57" w:right="-57"/>
              <w:jc w:val="right"/>
            </w:pPr>
            <w:r>
              <w:t>3,838,45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spacing w:before="40" w:after="40"/>
              <w:ind w:left="-57" w:right="-57"/>
              <w:jc w:val="right"/>
            </w:pPr>
            <w:r>
              <w:t>3,838,45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spacing w:before="40" w:after="40"/>
              <w:ind w:left="-108" w:right="-57"/>
              <w:jc w:val="right"/>
            </w:pPr>
          </w:p>
        </w:tc>
        <w:tc>
          <w:tcPr>
            <w:tcW w:w="871" w:type="dxa"/>
            <w:shd w:val="clear" w:color="auto" w:fill="auto"/>
            <w:vAlign w:val="center"/>
          </w:tcPr>
          <w:p>
            <w:pPr>
              <w:spacing w:before="40" w:after="40"/>
              <w:ind w:left="-108" w:right="-108"/>
              <w:jc w:val="center"/>
            </w:pPr>
            <w:r>
              <w:t>100,0</w:t>
            </w:r>
          </w:p>
        </w:tc>
      </w:tr>
      <w:tr>
        <w:tc>
          <w:tcPr>
            <w:tcW w:w="4077" w:type="dxa"/>
          </w:tcPr>
          <w:p>
            <w:pPr>
              <w:spacing w:before="40" w:after="40"/>
              <w:ind w:right="-108"/>
            </w:pPr>
            <w:r>
              <w:t>по пр</w:t>
            </w:r>
            <w:proofErr w:type="gramStart"/>
            <w:r>
              <w:t>.К</w:t>
            </w:r>
            <w:proofErr w:type="gramEnd"/>
            <w:r>
              <w:t>оммунистический, 63 (на 1, 2, 3 этажах)</w:t>
            </w:r>
          </w:p>
        </w:tc>
        <w:tc>
          <w:tcPr>
            <w:tcW w:w="1124" w:type="dxa"/>
            <w:shd w:val="clear" w:color="auto" w:fill="auto"/>
            <w:vAlign w:val="center"/>
          </w:tcPr>
          <w:p>
            <w:pPr>
              <w:spacing w:before="40" w:after="40"/>
              <w:ind w:left="-108" w:right="-57"/>
              <w:jc w:val="right"/>
            </w:pPr>
            <w:r>
              <w:t>2 901,05</w:t>
            </w:r>
          </w:p>
        </w:tc>
        <w:tc>
          <w:tcPr>
            <w:tcW w:w="1144" w:type="dxa"/>
            <w:shd w:val="clear" w:color="auto" w:fill="auto"/>
            <w:vAlign w:val="center"/>
          </w:tcPr>
          <w:p>
            <w:pPr>
              <w:spacing w:before="40" w:after="40"/>
              <w:ind w:left="-57" w:right="-57"/>
              <w:jc w:val="right"/>
            </w:pPr>
            <w:r>
              <w:t>2 901,05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spacing w:before="40" w:after="40"/>
              <w:ind w:left="-57" w:right="-57"/>
              <w:jc w:val="right"/>
            </w:pPr>
            <w:r>
              <w:t>2 901,05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spacing w:before="40" w:after="40"/>
              <w:ind w:left="-108" w:right="-57"/>
              <w:jc w:val="right"/>
            </w:pPr>
          </w:p>
        </w:tc>
        <w:tc>
          <w:tcPr>
            <w:tcW w:w="871" w:type="dxa"/>
            <w:shd w:val="clear" w:color="auto" w:fill="auto"/>
            <w:vAlign w:val="center"/>
          </w:tcPr>
          <w:p>
            <w:pPr>
              <w:spacing w:before="40" w:after="40"/>
              <w:ind w:left="-108" w:right="-108"/>
              <w:jc w:val="center"/>
            </w:pPr>
            <w:r>
              <w:t>100,0</w:t>
            </w:r>
          </w:p>
        </w:tc>
      </w:tr>
      <w:tr>
        <w:trPr>
          <w:trHeight w:val="324"/>
        </w:trPr>
        <w:tc>
          <w:tcPr>
            <w:tcW w:w="4077" w:type="dxa"/>
            <w:vAlign w:val="center"/>
          </w:tcPr>
          <w:p>
            <w:r>
              <w:t xml:space="preserve">по ул. Ленинградская, д.23 </w:t>
            </w:r>
          </w:p>
        </w:tc>
        <w:tc>
          <w:tcPr>
            <w:tcW w:w="1124" w:type="dxa"/>
            <w:shd w:val="clear" w:color="auto" w:fill="auto"/>
            <w:vAlign w:val="center"/>
          </w:tcPr>
          <w:p>
            <w:pPr>
              <w:spacing w:before="40" w:after="40"/>
              <w:ind w:right="-57"/>
              <w:jc w:val="right"/>
            </w:pPr>
          </w:p>
        </w:tc>
        <w:tc>
          <w:tcPr>
            <w:tcW w:w="1144" w:type="dxa"/>
            <w:shd w:val="clear" w:color="auto" w:fill="auto"/>
            <w:vAlign w:val="center"/>
          </w:tcPr>
          <w:p>
            <w:pPr>
              <w:spacing w:before="40" w:after="40"/>
              <w:ind w:left="-57" w:right="-57"/>
              <w:jc w:val="right"/>
            </w:pPr>
            <w:r>
              <w:t>1 015,00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ind w:left="-57" w:right="-57"/>
              <w:jc w:val="right"/>
            </w:pPr>
            <w:r>
              <w:t>1 015,00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spacing w:before="40" w:after="40"/>
              <w:ind w:left="-108" w:right="-57"/>
              <w:jc w:val="right"/>
            </w:pPr>
          </w:p>
        </w:tc>
        <w:tc>
          <w:tcPr>
            <w:tcW w:w="871" w:type="dxa"/>
            <w:shd w:val="clear" w:color="auto" w:fill="auto"/>
            <w:vAlign w:val="center"/>
          </w:tcPr>
          <w:p>
            <w:pPr>
              <w:spacing w:before="40" w:after="40"/>
              <w:ind w:left="-108" w:right="-108"/>
              <w:jc w:val="center"/>
            </w:pPr>
            <w:r>
              <w:t>100,0</w:t>
            </w:r>
          </w:p>
        </w:tc>
      </w:tr>
      <w:tr>
        <w:tc>
          <w:tcPr>
            <w:tcW w:w="4077" w:type="dxa"/>
          </w:tcPr>
          <w:p>
            <w:pPr>
              <w:spacing w:before="40" w:after="40"/>
              <w:ind w:right="-108"/>
            </w:pPr>
            <w:r>
              <w:t xml:space="preserve">по </w:t>
            </w:r>
            <w:proofErr w:type="spellStart"/>
            <w:r>
              <w:t>ул</w:t>
            </w:r>
            <w:proofErr w:type="gramStart"/>
            <w:r>
              <w:t>.Л</w:t>
            </w:r>
            <w:proofErr w:type="gramEnd"/>
            <w:r>
              <w:t>еонтичука</w:t>
            </w:r>
            <w:proofErr w:type="spellEnd"/>
            <w:r>
              <w:t>, д.8а</w:t>
            </w:r>
          </w:p>
        </w:tc>
        <w:tc>
          <w:tcPr>
            <w:tcW w:w="1124" w:type="dxa"/>
            <w:shd w:val="clear" w:color="auto" w:fill="auto"/>
            <w:vAlign w:val="center"/>
          </w:tcPr>
          <w:p>
            <w:pPr>
              <w:spacing w:before="40" w:after="40"/>
              <w:ind w:left="-108" w:right="-57"/>
              <w:jc w:val="right"/>
              <w:rPr>
                <w:highlight w:val="red"/>
              </w:rPr>
            </w:pPr>
          </w:p>
        </w:tc>
        <w:tc>
          <w:tcPr>
            <w:tcW w:w="1144" w:type="dxa"/>
            <w:shd w:val="clear" w:color="auto" w:fill="auto"/>
            <w:vAlign w:val="center"/>
          </w:tcPr>
          <w:p>
            <w:pPr>
              <w:spacing w:before="40" w:after="40"/>
              <w:ind w:left="-57" w:right="-57"/>
              <w:jc w:val="right"/>
            </w:pPr>
            <w:r>
              <w:t>639,00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spacing w:before="40" w:after="40"/>
              <w:ind w:left="-57" w:right="-57"/>
              <w:jc w:val="right"/>
            </w:pPr>
            <w:r>
              <w:t>639,00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spacing w:before="40" w:after="40"/>
              <w:ind w:left="-108" w:right="-57"/>
              <w:jc w:val="right"/>
              <w:rPr>
                <w:highlight w:val="red"/>
              </w:rPr>
            </w:pPr>
          </w:p>
        </w:tc>
        <w:tc>
          <w:tcPr>
            <w:tcW w:w="871" w:type="dxa"/>
            <w:shd w:val="clear" w:color="auto" w:fill="FFFFFF" w:themeFill="background1"/>
            <w:vAlign w:val="center"/>
          </w:tcPr>
          <w:p>
            <w:pPr>
              <w:spacing w:before="40" w:after="40"/>
              <w:ind w:left="-108" w:right="-108"/>
              <w:jc w:val="center"/>
              <w:rPr>
                <w:highlight w:val="yellow"/>
              </w:rPr>
            </w:pPr>
            <w:r>
              <w:t>100,0</w:t>
            </w:r>
          </w:p>
        </w:tc>
      </w:tr>
    </w:tbl>
    <w:p>
      <w:pPr>
        <w:pStyle w:val="a5"/>
        <w:spacing w:after="0"/>
        <w:ind w:firstLine="720"/>
        <w:jc w:val="both"/>
        <w:rPr>
          <w:sz w:val="24"/>
          <w:szCs w:val="24"/>
          <w:highlight w:val="yellow"/>
        </w:rPr>
      </w:pPr>
    </w:p>
    <w:p>
      <w:pPr>
        <w:pStyle w:val="ConsPlusNormal"/>
        <w:ind w:firstLine="709"/>
        <w:jc w:val="both"/>
      </w:pPr>
      <w:r>
        <w:t>Доходы от приватизации муниципального имущества в 2019 году составили:</w:t>
      </w:r>
    </w:p>
    <w:p>
      <w:pPr>
        <w:pStyle w:val="ConsPlusNormal"/>
        <w:ind w:firstLine="709"/>
        <w:jc w:val="both"/>
        <w:rPr>
          <w:color w:val="000000" w:themeColor="text1"/>
        </w:rPr>
      </w:pPr>
      <w:r>
        <w:t xml:space="preserve">-  в соответствии с Федеральным законом от 21.12.2001 № 178-ФЗ «О приватизации </w:t>
      </w:r>
      <w:r>
        <w:rPr>
          <w:color w:val="000000" w:themeColor="text1"/>
        </w:rPr>
        <w:t>государственного и муниципального имущества» – 2 116,57 тыс.руб. или 10,4% от общей суммы поступлений по подстатье;</w:t>
      </w:r>
    </w:p>
    <w:p>
      <w:pPr>
        <w:pStyle w:val="ConsPlusNormal"/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>- в соответствии с Федеральным законом от 22.07.2008 № 159-ФЗ «Об 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 (доходы от приватизации в 2014-2019 гг. в рассрочку до 5 лет)  – 18 186,17 тыс.руб. или 89,6% от общей суммы поступлений по подстатье.</w:t>
      </w:r>
    </w:p>
    <w:p>
      <w:pPr>
        <w:pStyle w:val="a8"/>
        <w:spacing w:after="0"/>
        <w:ind w:left="0" w:firstLine="720"/>
        <w:jc w:val="both"/>
        <w:rPr>
          <w:sz w:val="24"/>
          <w:szCs w:val="24"/>
        </w:rPr>
      </w:pPr>
      <w:r>
        <w:rPr>
          <w:sz w:val="24"/>
          <w:szCs w:val="24"/>
        </w:rPr>
        <w:t>По сравнению с 2018 годом снижение поступлений по подстатье составило 44 934,81 тыс.руб. или на 68,9%.</w:t>
      </w:r>
    </w:p>
    <w:p>
      <w:pPr>
        <w:pStyle w:val="a8"/>
        <w:ind w:left="0"/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>3.2.4.2. Доходы от продажи земельных участков</w:t>
      </w:r>
    </w:p>
    <w:p>
      <w:pPr>
        <w:pStyle w:val="a8"/>
        <w:spacing w:after="0"/>
        <w:ind w:left="0" w:firstLine="720"/>
        <w:jc w:val="both"/>
        <w:rPr>
          <w:sz w:val="24"/>
          <w:szCs w:val="24"/>
        </w:rPr>
      </w:pPr>
      <w:r>
        <w:rPr>
          <w:sz w:val="24"/>
          <w:szCs w:val="24"/>
        </w:rPr>
        <w:t>Прогноз поступлений по доходам от продажи земельных участков составлял      250,00 тыс.руб., фактическое исполнение – 207,72 тыс.руб., невыполнение                                        на 42,28 тыс.руб. или на 16,9%.</w:t>
      </w:r>
    </w:p>
    <w:p>
      <w:pPr>
        <w:spacing w:before="120" w:after="6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Таблица 36. Анализ поступления от продажи земельных участков в 2018 - 2019 гг.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43"/>
        <w:gridCol w:w="1134"/>
        <w:gridCol w:w="1134"/>
        <w:gridCol w:w="1233"/>
        <w:gridCol w:w="1177"/>
        <w:gridCol w:w="1082"/>
        <w:gridCol w:w="867"/>
      </w:tblGrid>
      <w:tr>
        <w:trPr>
          <w:trHeight w:val="302"/>
        </w:trPr>
        <w:tc>
          <w:tcPr>
            <w:tcW w:w="2943" w:type="dxa"/>
            <w:vMerge w:val="restart"/>
            <w:vAlign w:val="center"/>
          </w:tcPr>
          <w:p>
            <w:pPr>
              <w:jc w:val="center"/>
            </w:pPr>
            <w:r>
              <w:t xml:space="preserve">Наименование </w:t>
            </w:r>
          </w:p>
        </w:tc>
        <w:tc>
          <w:tcPr>
            <w:tcW w:w="1134" w:type="dxa"/>
            <w:vMerge w:val="restart"/>
          </w:tcPr>
          <w:p>
            <w:pPr>
              <w:ind w:left="-108" w:right="-108"/>
              <w:jc w:val="center"/>
              <w:rPr>
                <w:sz w:val="22"/>
                <w:szCs w:val="22"/>
              </w:rPr>
            </w:pPr>
          </w:p>
          <w:p>
            <w:pPr>
              <w:ind w:right="-57"/>
              <w:jc w:val="center"/>
              <w:rPr>
                <w:bCs/>
              </w:rPr>
            </w:pPr>
            <w:r>
              <w:rPr>
                <w:bCs/>
              </w:rPr>
              <w:t>Факт</w:t>
            </w:r>
          </w:p>
          <w:p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bCs/>
              </w:rPr>
              <w:t>2018 год, тыс.руб.</w:t>
            </w:r>
          </w:p>
        </w:tc>
        <w:tc>
          <w:tcPr>
            <w:tcW w:w="5493" w:type="dxa"/>
            <w:gridSpan w:val="5"/>
            <w:vAlign w:val="center"/>
          </w:tcPr>
          <w:p>
            <w:pPr>
              <w:pStyle w:val="a5"/>
              <w:spacing w:after="0"/>
              <w:ind w:left="-57" w:right="-57"/>
              <w:jc w:val="center"/>
            </w:pPr>
            <w:r>
              <w:t>2019 год</w:t>
            </w:r>
          </w:p>
        </w:tc>
      </w:tr>
      <w:tr>
        <w:trPr>
          <w:trHeight w:val="554"/>
        </w:trPr>
        <w:tc>
          <w:tcPr>
            <w:tcW w:w="2943" w:type="dxa"/>
            <w:vMerge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>
            <w:pPr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>
            <w:pPr>
              <w:ind w:left="-158" w:right="-108"/>
              <w:jc w:val="center"/>
            </w:pPr>
            <w:proofErr w:type="spellStart"/>
            <w:r>
              <w:t>Первона-чальный</w:t>
            </w:r>
            <w:proofErr w:type="spellEnd"/>
            <w:r>
              <w:t xml:space="preserve"> прогноз, тыс</w:t>
            </w:r>
            <w:proofErr w:type="gramStart"/>
            <w:r>
              <w:t>.р</w:t>
            </w:r>
            <w:proofErr w:type="gramEnd"/>
            <w:r>
              <w:t>уб.</w:t>
            </w:r>
          </w:p>
        </w:tc>
        <w:tc>
          <w:tcPr>
            <w:tcW w:w="1233" w:type="dxa"/>
            <w:vAlign w:val="center"/>
          </w:tcPr>
          <w:p>
            <w:pPr>
              <w:ind w:left="-158" w:right="-108"/>
              <w:jc w:val="center"/>
            </w:pPr>
            <w:r>
              <w:t>Уточненный прогноз,</w:t>
            </w:r>
            <w:r>
              <w:br/>
              <w:t>тыс</w:t>
            </w:r>
            <w:proofErr w:type="gramStart"/>
            <w:r>
              <w:t>.р</w:t>
            </w:r>
            <w:proofErr w:type="gramEnd"/>
            <w:r>
              <w:t>уб.</w:t>
            </w:r>
          </w:p>
        </w:tc>
        <w:tc>
          <w:tcPr>
            <w:tcW w:w="1177" w:type="dxa"/>
            <w:vAlign w:val="center"/>
          </w:tcPr>
          <w:p>
            <w:pPr>
              <w:ind w:left="-108" w:right="-108"/>
              <w:jc w:val="center"/>
            </w:pPr>
            <w:r>
              <w:t xml:space="preserve">Факт, </w:t>
            </w:r>
            <w:r>
              <w:br/>
              <w:t>тыс.руб.</w:t>
            </w:r>
          </w:p>
        </w:tc>
        <w:tc>
          <w:tcPr>
            <w:tcW w:w="1082" w:type="dxa"/>
            <w:vAlign w:val="center"/>
          </w:tcPr>
          <w:p>
            <w:pPr>
              <w:pStyle w:val="a5"/>
              <w:tabs>
                <w:tab w:val="left" w:pos="-108"/>
                <w:tab w:val="left" w:pos="-77"/>
              </w:tabs>
              <w:spacing w:after="0"/>
              <w:ind w:left="-108" w:right="-108"/>
              <w:jc w:val="center"/>
            </w:pPr>
            <w:r>
              <w:t>Отклонение</w:t>
            </w:r>
          </w:p>
          <w:p>
            <w:pPr>
              <w:pStyle w:val="a5"/>
              <w:tabs>
                <w:tab w:val="left" w:pos="-108"/>
                <w:tab w:val="left" w:pos="-77"/>
              </w:tabs>
              <w:spacing w:after="0"/>
              <w:ind w:left="-108" w:right="-108"/>
              <w:jc w:val="center"/>
            </w:pPr>
            <w:r>
              <w:t>тыс.руб.</w:t>
            </w:r>
          </w:p>
        </w:tc>
        <w:tc>
          <w:tcPr>
            <w:tcW w:w="867" w:type="dxa"/>
            <w:vAlign w:val="center"/>
          </w:tcPr>
          <w:p>
            <w:pPr>
              <w:pStyle w:val="a5"/>
              <w:tabs>
                <w:tab w:val="left" w:pos="-192"/>
                <w:tab w:val="left" w:pos="-77"/>
              </w:tabs>
              <w:spacing w:after="0"/>
              <w:ind w:left="-108" w:right="-108"/>
              <w:jc w:val="center"/>
            </w:pPr>
            <w:r>
              <w:t>%</w:t>
            </w:r>
          </w:p>
          <w:p>
            <w:pPr>
              <w:pStyle w:val="a5"/>
              <w:tabs>
                <w:tab w:val="left" w:pos="-192"/>
                <w:tab w:val="left" w:pos="0"/>
              </w:tabs>
              <w:spacing w:after="0"/>
              <w:ind w:left="-108" w:right="-108"/>
              <w:jc w:val="center"/>
            </w:pPr>
            <w:proofErr w:type="spellStart"/>
            <w:proofErr w:type="gramStart"/>
            <w:r>
              <w:t>испол-нения</w:t>
            </w:r>
            <w:proofErr w:type="spellEnd"/>
            <w:proofErr w:type="gramEnd"/>
          </w:p>
        </w:tc>
      </w:tr>
      <w:tr>
        <w:tc>
          <w:tcPr>
            <w:tcW w:w="2943" w:type="dxa"/>
            <w:vAlign w:val="center"/>
          </w:tcPr>
          <w:p>
            <w:pPr>
              <w:pStyle w:val="a5"/>
              <w:tabs>
                <w:tab w:val="left" w:pos="3966"/>
              </w:tabs>
              <w:spacing w:after="0"/>
              <w:ind w:right="-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233" w:type="dxa"/>
            <w:shd w:val="clear" w:color="auto" w:fill="auto"/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177" w:type="dxa"/>
            <w:shd w:val="clear" w:color="auto" w:fill="auto"/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82" w:type="dxa"/>
            <w:shd w:val="clear" w:color="auto" w:fill="auto"/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6=5-4</w:t>
            </w:r>
          </w:p>
        </w:tc>
        <w:tc>
          <w:tcPr>
            <w:tcW w:w="867" w:type="dxa"/>
            <w:shd w:val="clear" w:color="auto" w:fill="auto"/>
            <w:vAlign w:val="center"/>
          </w:tcPr>
          <w:p>
            <w:pPr>
              <w:pStyle w:val="a5"/>
              <w:spacing w:after="0"/>
              <w:ind w:left="-57" w:right="-5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7=5/4</w:t>
            </w:r>
          </w:p>
        </w:tc>
      </w:tr>
      <w:tr>
        <w:trPr>
          <w:trHeight w:val="606"/>
        </w:trPr>
        <w:tc>
          <w:tcPr>
            <w:tcW w:w="2943" w:type="dxa"/>
            <w:vAlign w:val="center"/>
          </w:tcPr>
          <w:p>
            <w:pPr>
              <w:ind w:right="-108"/>
            </w:pPr>
            <w:r>
              <w:t>Доходы от продажи земельных участков</w:t>
            </w:r>
          </w:p>
        </w:tc>
        <w:tc>
          <w:tcPr>
            <w:tcW w:w="1134" w:type="dxa"/>
            <w:vAlign w:val="center"/>
          </w:tcPr>
          <w:p>
            <w:pPr>
              <w:spacing w:before="40" w:after="40"/>
              <w:ind w:left="-108" w:right="-57"/>
              <w:jc w:val="center"/>
            </w:pPr>
            <w:r>
              <w:t>633,15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spacing w:before="40" w:after="40"/>
              <w:ind w:left="-108" w:right="-57"/>
              <w:jc w:val="center"/>
            </w:pPr>
            <w:r>
              <w:t>250,00</w:t>
            </w:r>
          </w:p>
        </w:tc>
        <w:tc>
          <w:tcPr>
            <w:tcW w:w="1233" w:type="dxa"/>
            <w:shd w:val="clear" w:color="auto" w:fill="auto"/>
            <w:vAlign w:val="center"/>
          </w:tcPr>
          <w:p>
            <w:pPr>
              <w:spacing w:before="40" w:after="40"/>
              <w:ind w:left="-108" w:right="-57"/>
              <w:jc w:val="center"/>
            </w:pPr>
            <w:r>
              <w:t>250,00</w:t>
            </w:r>
          </w:p>
        </w:tc>
        <w:tc>
          <w:tcPr>
            <w:tcW w:w="1177" w:type="dxa"/>
            <w:shd w:val="clear" w:color="auto" w:fill="auto"/>
            <w:vAlign w:val="center"/>
          </w:tcPr>
          <w:p>
            <w:pPr>
              <w:spacing w:before="40" w:after="40"/>
              <w:ind w:left="-108" w:right="-57"/>
              <w:jc w:val="center"/>
            </w:pPr>
            <w:r>
              <w:t>207,72</w:t>
            </w:r>
          </w:p>
        </w:tc>
        <w:tc>
          <w:tcPr>
            <w:tcW w:w="1082" w:type="dxa"/>
            <w:shd w:val="clear" w:color="auto" w:fill="auto"/>
            <w:vAlign w:val="center"/>
          </w:tcPr>
          <w:p>
            <w:pPr>
              <w:spacing w:before="40" w:after="40"/>
              <w:ind w:left="-108" w:right="-57"/>
              <w:jc w:val="center"/>
            </w:pPr>
            <w:r>
              <w:t>-42,28</w:t>
            </w:r>
          </w:p>
        </w:tc>
        <w:tc>
          <w:tcPr>
            <w:tcW w:w="867" w:type="dxa"/>
            <w:shd w:val="clear" w:color="auto" w:fill="auto"/>
            <w:vAlign w:val="center"/>
          </w:tcPr>
          <w:p>
            <w:pPr>
              <w:spacing w:before="40" w:after="40"/>
              <w:ind w:left="-108" w:right="-108"/>
              <w:jc w:val="center"/>
            </w:pPr>
            <w:r>
              <w:t>83,1</w:t>
            </w:r>
          </w:p>
        </w:tc>
      </w:tr>
    </w:tbl>
    <w:p>
      <w:pPr>
        <w:pStyle w:val="a8"/>
        <w:spacing w:before="120"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Норматив зачисления в бюджет ЗАТО Северск 100%.</w:t>
      </w:r>
    </w:p>
    <w:p>
      <w:pPr>
        <w:pStyle w:val="a8"/>
        <w:spacing w:after="0"/>
        <w:ind w:left="0" w:firstLine="720"/>
        <w:jc w:val="both"/>
        <w:rPr>
          <w:sz w:val="24"/>
          <w:szCs w:val="24"/>
        </w:rPr>
      </w:pPr>
      <w:r>
        <w:rPr>
          <w:sz w:val="24"/>
          <w:szCs w:val="24"/>
        </w:rPr>
        <w:t>По сравнению с 2018 годом сокращение поступлений по статье составило 425,43 тыс.руб. или на 67,2%.</w:t>
      </w:r>
    </w:p>
    <w:p>
      <w:pPr>
        <w:pStyle w:val="a5"/>
        <w:spacing w:after="0"/>
        <w:jc w:val="center"/>
        <w:rPr>
          <w:b/>
          <w:sz w:val="24"/>
          <w:szCs w:val="24"/>
          <w:highlight w:val="yellow"/>
        </w:rPr>
      </w:pPr>
    </w:p>
    <w:p>
      <w:pPr>
        <w:pStyle w:val="a5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3.2.5. Штрафы, санкции, возмещение ущерба</w:t>
      </w:r>
    </w:p>
    <w:p>
      <w:pPr>
        <w:ind w:right="22" w:firstLine="720"/>
        <w:jc w:val="both"/>
        <w:rPr>
          <w:sz w:val="24"/>
          <w:szCs w:val="24"/>
          <w:highlight w:val="yellow"/>
        </w:rPr>
      </w:pPr>
      <w:r>
        <w:rPr>
          <w:sz w:val="24"/>
          <w:szCs w:val="24"/>
        </w:rPr>
        <w:t>Прогноз по статье «Штрафы, санкции, возмещение ущерба» составлял 12 159,42 тыс.руб., фактическое исполнение – 12 368,61 тыс.руб., перевыполнение на 209,19 тыс.руб. или на 1,7%.</w:t>
      </w:r>
    </w:p>
    <w:p>
      <w:pPr>
        <w:spacing w:before="120" w:after="6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Таблица 37. Анализ поступления статье «Штрафы, санкции, возмещение ущерба»       в 2018-2019 гг.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02"/>
        <w:gridCol w:w="1134"/>
        <w:gridCol w:w="1198"/>
        <w:gridCol w:w="1310"/>
        <w:gridCol w:w="1041"/>
        <w:gridCol w:w="1218"/>
        <w:gridCol w:w="867"/>
      </w:tblGrid>
      <w:tr>
        <w:trPr>
          <w:trHeight w:val="349"/>
        </w:trPr>
        <w:tc>
          <w:tcPr>
            <w:tcW w:w="2802" w:type="dxa"/>
            <w:vMerge w:val="restart"/>
            <w:vAlign w:val="center"/>
          </w:tcPr>
          <w:p>
            <w:pPr>
              <w:jc w:val="center"/>
            </w:pPr>
            <w:r>
              <w:t xml:space="preserve">Наименование </w:t>
            </w:r>
          </w:p>
        </w:tc>
        <w:tc>
          <w:tcPr>
            <w:tcW w:w="1134" w:type="dxa"/>
            <w:vMerge w:val="restart"/>
            <w:vAlign w:val="center"/>
          </w:tcPr>
          <w:p>
            <w:pPr>
              <w:ind w:right="-57"/>
              <w:jc w:val="center"/>
              <w:rPr>
                <w:bCs/>
              </w:rPr>
            </w:pPr>
            <w:r>
              <w:rPr>
                <w:bCs/>
              </w:rPr>
              <w:t>Факт</w:t>
            </w:r>
          </w:p>
          <w:p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bCs/>
              </w:rPr>
              <w:t>2018 год, тыс.руб.</w:t>
            </w:r>
          </w:p>
        </w:tc>
        <w:tc>
          <w:tcPr>
            <w:tcW w:w="5634" w:type="dxa"/>
            <w:gridSpan w:val="5"/>
            <w:vAlign w:val="center"/>
          </w:tcPr>
          <w:p>
            <w:pPr>
              <w:pStyle w:val="a5"/>
              <w:spacing w:after="0"/>
              <w:ind w:left="-57" w:right="-57"/>
              <w:jc w:val="center"/>
            </w:pPr>
            <w:r>
              <w:t>2019 год</w:t>
            </w:r>
          </w:p>
        </w:tc>
      </w:tr>
      <w:tr>
        <w:trPr>
          <w:trHeight w:val="821"/>
        </w:trPr>
        <w:tc>
          <w:tcPr>
            <w:tcW w:w="2802" w:type="dxa"/>
            <w:vMerge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>
            <w:pPr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198" w:type="dxa"/>
          </w:tcPr>
          <w:p>
            <w:pPr>
              <w:ind w:left="-158" w:right="-108"/>
              <w:jc w:val="center"/>
            </w:pPr>
            <w:proofErr w:type="spellStart"/>
            <w:r>
              <w:t>Первона-чальный</w:t>
            </w:r>
            <w:proofErr w:type="spellEnd"/>
            <w:r>
              <w:t xml:space="preserve"> прогноз, тыс</w:t>
            </w:r>
            <w:proofErr w:type="gramStart"/>
            <w:r>
              <w:t>.р</w:t>
            </w:r>
            <w:proofErr w:type="gramEnd"/>
            <w:r>
              <w:t>уб.</w:t>
            </w:r>
          </w:p>
        </w:tc>
        <w:tc>
          <w:tcPr>
            <w:tcW w:w="1310" w:type="dxa"/>
            <w:vAlign w:val="center"/>
          </w:tcPr>
          <w:p>
            <w:pPr>
              <w:ind w:left="-158" w:right="-108"/>
              <w:jc w:val="center"/>
            </w:pPr>
            <w:r>
              <w:t>Уточненный прогноз,</w:t>
            </w:r>
            <w:r>
              <w:br/>
              <w:t>тыс</w:t>
            </w:r>
            <w:proofErr w:type="gramStart"/>
            <w:r>
              <w:t>.р</w:t>
            </w:r>
            <w:proofErr w:type="gramEnd"/>
            <w:r>
              <w:t>уб.</w:t>
            </w:r>
          </w:p>
        </w:tc>
        <w:tc>
          <w:tcPr>
            <w:tcW w:w="1041" w:type="dxa"/>
            <w:vAlign w:val="center"/>
          </w:tcPr>
          <w:p>
            <w:pPr>
              <w:ind w:left="-108" w:right="-108"/>
              <w:jc w:val="center"/>
            </w:pPr>
            <w:r>
              <w:t xml:space="preserve">Факт, </w:t>
            </w:r>
            <w:r>
              <w:br/>
              <w:t>тыс.руб.</w:t>
            </w:r>
          </w:p>
        </w:tc>
        <w:tc>
          <w:tcPr>
            <w:tcW w:w="1218" w:type="dxa"/>
            <w:vAlign w:val="center"/>
          </w:tcPr>
          <w:p>
            <w:pPr>
              <w:pStyle w:val="a5"/>
              <w:tabs>
                <w:tab w:val="left" w:pos="-108"/>
                <w:tab w:val="left" w:pos="-77"/>
              </w:tabs>
              <w:spacing w:after="0"/>
              <w:ind w:left="-108" w:right="-108"/>
              <w:jc w:val="center"/>
            </w:pPr>
            <w:r>
              <w:t>Отклонение</w:t>
            </w:r>
          </w:p>
          <w:p>
            <w:pPr>
              <w:pStyle w:val="a5"/>
              <w:tabs>
                <w:tab w:val="left" w:pos="-108"/>
                <w:tab w:val="left" w:pos="-77"/>
              </w:tabs>
              <w:spacing w:after="0"/>
              <w:ind w:left="-108" w:right="-108"/>
              <w:jc w:val="center"/>
            </w:pPr>
            <w:r>
              <w:t>тыс.руб.</w:t>
            </w:r>
          </w:p>
        </w:tc>
        <w:tc>
          <w:tcPr>
            <w:tcW w:w="867" w:type="dxa"/>
            <w:vAlign w:val="center"/>
          </w:tcPr>
          <w:p>
            <w:pPr>
              <w:pStyle w:val="a5"/>
              <w:tabs>
                <w:tab w:val="left" w:pos="-192"/>
                <w:tab w:val="left" w:pos="-77"/>
              </w:tabs>
              <w:spacing w:after="0"/>
              <w:ind w:left="-108" w:right="-108"/>
              <w:jc w:val="center"/>
            </w:pPr>
            <w:r>
              <w:t>%</w:t>
            </w:r>
          </w:p>
          <w:p>
            <w:pPr>
              <w:pStyle w:val="a5"/>
              <w:tabs>
                <w:tab w:val="left" w:pos="-192"/>
                <w:tab w:val="left" w:pos="0"/>
              </w:tabs>
              <w:spacing w:after="0"/>
              <w:ind w:left="-108" w:right="-108"/>
              <w:jc w:val="center"/>
            </w:pPr>
            <w:proofErr w:type="spellStart"/>
            <w:proofErr w:type="gramStart"/>
            <w:r>
              <w:t>испол-нения</w:t>
            </w:r>
            <w:proofErr w:type="spellEnd"/>
            <w:proofErr w:type="gramEnd"/>
          </w:p>
        </w:tc>
      </w:tr>
      <w:tr>
        <w:tc>
          <w:tcPr>
            <w:tcW w:w="2802" w:type="dxa"/>
            <w:vAlign w:val="center"/>
          </w:tcPr>
          <w:p>
            <w:pPr>
              <w:pStyle w:val="a5"/>
              <w:tabs>
                <w:tab w:val="left" w:pos="3966"/>
              </w:tabs>
              <w:spacing w:after="0"/>
              <w:ind w:right="-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198" w:type="dxa"/>
            <w:shd w:val="clear" w:color="auto" w:fill="auto"/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310" w:type="dxa"/>
            <w:shd w:val="clear" w:color="auto" w:fill="auto"/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41" w:type="dxa"/>
            <w:shd w:val="clear" w:color="auto" w:fill="auto"/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218" w:type="dxa"/>
            <w:shd w:val="clear" w:color="auto" w:fill="auto"/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6=5-4</w:t>
            </w:r>
          </w:p>
        </w:tc>
        <w:tc>
          <w:tcPr>
            <w:tcW w:w="867" w:type="dxa"/>
            <w:shd w:val="clear" w:color="auto" w:fill="auto"/>
            <w:vAlign w:val="center"/>
          </w:tcPr>
          <w:p>
            <w:pPr>
              <w:pStyle w:val="a5"/>
              <w:spacing w:after="0"/>
              <w:ind w:left="-57" w:right="-5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7=5/4</w:t>
            </w:r>
          </w:p>
        </w:tc>
      </w:tr>
      <w:tr>
        <w:trPr>
          <w:trHeight w:val="538"/>
        </w:trPr>
        <w:tc>
          <w:tcPr>
            <w:tcW w:w="2802" w:type="dxa"/>
            <w:vAlign w:val="center"/>
          </w:tcPr>
          <w:p>
            <w:pPr>
              <w:ind w:right="-108"/>
              <w:rPr>
                <w:highlight w:val="yellow"/>
              </w:rPr>
            </w:pPr>
            <w:r>
              <w:t>Штрафы, санкции, возмещение ущерба</w:t>
            </w:r>
          </w:p>
        </w:tc>
        <w:tc>
          <w:tcPr>
            <w:tcW w:w="1134" w:type="dxa"/>
            <w:vAlign w:val="center"/>
          </w:tcPr>
          <w:p>
            <w:pPr>
              <w:spacing w:before="40" w:after="40"/>
              <w:ind w:left="-108" w:right="-57"/>
              <w:jc w:val="right"/>
            </w:pPr>
            <w:r>
              <w:t>15 610,18</w:t>
            </w:r>
          </w:p>
        </w:tc>
        <w:tc>
          <w:tcPr>
            <w:tcW w:w="1198" w:type="dxa"/>
            <w:shd w:val="clear" w:color="auto" w:fill="auto"/>
            <w:vAlign w:val="center"/>
          </w:tcPr>
          <w:p>
            <w:pPr>
              <w:spacing w:before="40" w:after="40"/>
              <w:ind w:left="-108" w:right="-57"/>
              <w:jc w:val="right"/>
            </w:pPr>
            <w:r>
              <w:t>10 971,22</w:t>
            </w:r>
          </w:p>
        </w:tc>
        <w:tc>
          <w:tcPr>
            <w:tcW w:w="1310" w:type="dxa"/>
            <w:shd w:val="clear" w:color="auto" w:fill="auto"/>
            <w:vAlign w:val="center"/>
          </w:tcPr>
          <w:p>
            <w:pPr>
              <w:spacing w:before="40" w:after="40"/>
              <w:ind w:left="-108" w:right="-57"/>
              <w:jc w:val="right"/>
            </w:pPr>
            <w:r>
              <w:t>12 159,42</w:t>
            </w:r>
          </w:p>
        </w:tc>
        <w:tc>
          <w:tcPr>
            <w:tcW w:w="1041" w:type="dxa"/>
            <w:shd w:val="clear" w:color="auto" w:fill="auto"/>
            <w:vAlign w:val="center"/>
          </w:tcPr>
          <w:p>
            <w:pPr>
              <w:spacing w:before="40" w:after="40"/>
              <w:ind w:left="-108" w:right="-57"/>
              <w:jc w:val="right"/>
            </w:pPr>
            <w:r>
              <w:t>12 368,61</w:t>
            </w:r>
          </w:p>
        </w:tc>
        <w:tc>
          <w:tcPr>
            <w:tcW w:w="1218" w:type="dxa"/>
            <w:shd w:val="clear" w:color="auto" w:fill="auto"/>
            <w:vAlign w:val="center"/>
          </w:tcPr>
          <w:p>
            <w:pPr>
              <w:spacing w:before="40" w:after="40"/>
              <w:ind w:left="-108" w:right="-57"/>
              <w:jc w:val="right"/>
            </w:pPr>
            <w:r>
              <w:t>209,19</w:t>
            </w:r>
          </w:p>
        </w:tc>
        <w:tc>
          <w:tcPr>
            <w:tcW w:w="867" w:type="dxa"/>
            <w:shd w:val="clear" w:color="auto" w:fill="auto"/>
            <w:vAlign w:val="center"/>
          </w:tcPr>
          <w:p>
            <w:pPr>
              <w:spacing w:before="40" w:after="40"/>
              <w:ind w:left="-108" w:right="-108"/>
              <w:jc w:val="center"/>
            </w:pPr>
            <w:r>
              <w:t>101,7</w:t>
            </w:r>
          </w:p>
        </w:tc>
      </w:tr>
    </w:tbl>
    <w:p>
      <w:pPr>
        <w:pStyle w:val="a5"/>
        <w:spacing w:before="120" w:after="0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Удельный вес статьи в общей структуре фактически поступивших доходов составляет 0,3%, налоговых и неналоговых доходах - 1,1%.</w:t>
      </w:r>
    </w:p>
    <w:p>
      <w:pPr>
        <w:pStyle w:val="a8"/>
        <w:spacing w:after="0"/>
        <w:ind w:left="0" w:firstLine="720"/>
        <w:jc w:val="both"/>
        <w:rPr>
          <w:sz w:val="24"/>
          <w:szCs w:val="24"/>
        </w:rPr>
      </w:pPr>
      <w:r>
        <w:rPr>
          <w:sz w:val="24"/>
          <w:szCs w:val="24"/>
        </w:rPr>
        <w:t>Доходы по статье «Штрафы, санкции, возмещение ущерба» зачисляются в бюджет ЗАТО Северск по нормативам, установленным статьей 46 Бюджетного кодекса Российской Федерации.</w:t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sz w:val="24"/>
          <w:szCs w:val="24"/>
        </w:rPr>
        <w:t>Администрирование данной статьи осуществляет 21 администратор доходов. Наибольший объем поступлений приходится на Управление Министерства внутренних дел Российской Федерации по Томской области (39,7%), Департамент природных ресурсов и охраны окружающей среды Томской области (23,8%), Управление жилищно-коммунального хозяйства, транспорта и связи Администрации ЗАТО Северск (11,9%), от</w:t>
      </w:r>
      <w:r>
        <w:rPr>
          <w:bCs/>
          <w:sz w:val="24"/>
          <w:szCs w:val="24"/>
        </w:rPr>
        <w:t> общей суммы поступлений по статье.</w:t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По сравнению с 2018 годом снижение поступлений по статье составило 3 241,57 тыс.руб. или на 20,8% в основном за счет снижения по штрафам, администрируемых УКС Администрации ЗАТО Северск (в 2018 году поступления в связи применением штрафных санкций к подрядной организации, выполняющей капитальный ремонт МКД, и подрядной организации, нарушившей сроки выполнения проектно-изыскательских работ по разработке ПСД на строительство городского кладбища, составили 5,5 млн.руб.).</w:t>
      </w:r>
    </w:p>
    <w:p>
      <w:pPr>
        <w:ind w:firstLine="709"/>
        <w:jc w:val="both"/>
        <w:rPr>
          <w:sz w:val="24"/>
          <w:szCs w:val="24"/>
          <w:highlight w:val="yellow"/>
        </w:rPr>
      </w:pPr>
    </w:p>
    <w:p>
      <w:pPr>
        <w:ind w:firstLine="709"/>
        <w:jc w:val="both"/>
        <w:rPr>
          <w:sz w:val="24"/>
          <w:szCs w:val="24"/>
          <w:highlight w:val="yellow"/>
        </w:rPr>
      </w:pPr>
    </w:p>
    <w:p>
      <w:pPr>
        <w:ind w:firstLine="709"/>
        <w:jc w:val="both"/>
        <w:rPr>
          <w:sz w:val="24"/>
          <w:szCs w:val="24"/>
          <w:highlight w:val="yellow"/>
        </w:rPr>
      </w:pPr>
    </w:p>
    <w:p>
      <w:pPr>
        <w:pStyle w:val="a5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3.2.6. Прочие неналоговые доходы</w:t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Прогноз по статье «Прочие неналоговые доходы» составлял 3 554,50 тыс.руб., фактическое исполнение – 9 954,46 тыс.руб., перевыполнение в сумме 6 399,96 тыс.руб. или в 2,8 раза за счет поступления денежных средств по результатам аукциона на перевозку тел умерших в морг в 2020 году (администратор - УЖКХ ТиС).</w:t>
      </w:r>
    </w:p>
    <w:p>
      <w:pPr>
        <w:tabs>
          <w:tab w:val="left" w:pos="0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Удельный вес статьи в общей структуре фактически поступивших доходов составляет 0,2%, налоговых и неналоговых доходах - 0,9%.</w:t>
      </w:r>
    </w:p>
    <w:p>
      <w:pPr>
        <w:pStyle w:val="a8"/>
        <w:spacing w:after="0"/>
        <w:ind w:left="0" w:firstLine="720"/>
        <w:jc w:val="both"/>
        <w:rPr>
          <w:sz w:val="24"/>
          <w:szCs w:val="24"/>
        </w:rPr>
      </w:pPr>
      <w:r>
        <w:rPr>
          <w:sz w:val="24"/>
          <w:szCs w:val="24"/>
        </w:rPr>
        <w:t>Норматив зачисления в бюджет ЗАТО Северск 100%.</w:t>
      </w:r>
    </w:p>
    <w:p>
      <w:pPr>
        <w:tabs>
          <w:tab w:val="left" w:pos="0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По сравнению с 2018 годом рост поступлений по статье составил 3 576,78 тыс.руб. или в 1,6 раза, за счет поступлений доходов, администрируемых УИО и УЖКХ ТиС.</w:t>
      </w:r>
    </w:p>
    <w:p>
      <w:pPr>
        <w:spacing w:before="120" w:after="6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Таблица 38. Анализ поступления статье «Прочие неналоговые доходы»                           в 2018-2019 гг.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02"/>
        <w:gridCol w:w="1134"/>
        <w:gridCol w:w="1198"/>
        <w:gridCol w:w="1310"/>
        <w:gridCol w:w="1041"/>
        <w:gridCol w:w="1218"/>
        <w:gridCol w:w="867"/>
      </w:tblGrid>
      <w:tr>
        <w:trPr>
          <w:trHeight w:val="345"/>
        </w:trPr>
        <w:tc>
          <w:tcPr>
            <w:tcW w:w="2802" w:type="dxa"/>
            <w:vMerge w:val="restart"/>
            <w:vAlign w:val="center"/>
          </w:tcPr>
          <w:p>
            <w:pPr>
              <w:jc w:val="center"/>
            </w:pPr>
            <w:r>
              <w:t xml:space="preserve">Наименование </w:t>
            </w:r>
          </w:p>
        </w:tc>
        <w:tc>
          <w:tcPr>
            <w:tcW w:w="1134" w:type="dxa"/>
            <w:vMerge w:val="restart"/>
            <w:vAlign w:val="center"/>
          </w:tcPr>
          <w:p>
            <w:pPr>
              <w:ind w:right="-57"/>
              <w:jc w:val="center"/>
              <w:rPr>
                <w:bCs/>
              </w:rPr>
            </w:pPr>
            <w:r>
              <w:rPr>
                <w:bCs/>
              </w:rPr>
              <w:t>Факт</w:t>
            </w:r>
          </w:p>
          <w:p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bCs/>
              </w:rPr>
              <w:t>2018 год, тыс.руб.</w:t>
            </w:r>
          </w:p>
        </w:tc>
        <w:tc>
          <w:tcPr>
            <w:tcW w:w="5634" w:type="dxa"/>
            <w:gridSpan w:val="5"/>
            <w:vAlign w:val="center"/>
          </w:tcPr>
          <w:p>
            <w:pPr>
              <w:pStyle w:val="a5"/>
              <w:spacing w:after="0"/>
              <w:ind w:left="-57" w:right="-57"/>
              <w:jc w:val="center"/>
            </w:pPr>
            <w:r>
              <w:t>2019 год</w:t>
            </w:r>
          </w:p>
        </w:tc>
      </w:tr>
      <w:tr>
        <w:trPr>
          <w:trHeight w:val="821"/>
        </w:trPr>
        <w:tc>
          <w:tcPr>
            <w:tcW w:w="2802" w:type="dxa"/>
            <w:vMerge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>
            <w:pPr>
              <w:ind w:left="-108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198" w:type="dxa"/>
          </w:tcPr>
          <w:p>
            <w:pPr>
              <w:ind w:left="-158" w:right="-108"/>
              <w:jc w:val="center"/>
            </w:pPr>
            <w:proofErr w:type="spellStart"/>
            <w:r>
              <w:t>Первона-чальный</w:t>
            </w:r>
            <w:proofErr w:type="spellEnd"/>
            <w:r>
              <w:t xml:space="preserve"> прогноз, тыс</w:t>
            </w:r>
            <w:proofErr w:type="gramStart"/>
            <w:r>
              <w:t>.р</w:t>
            </w:r>
            <w:proofErr w:type="gramEnd"/>
            <w:r>
              <w:t>уб.</w:t>
            </w:r>
          </w:p>
        </w:tc>
        <w:tc>
          <w:tcPr>
            <w:tcW w:w="1310" w:type="dxa"/>
            <w:vAlign w:val="center"/>
          </w:tcPr>
          <w:p>
            <w:pPr>
              <w:ind w:left="-158" w:right="-108"/>
              <w:jc w:val="center"/>
            </w:pPr>
            <w:r>
              <w:t>Уточненный прогноз,</w:t>
            </w:r>
            <w:r>
              <w:br/>
              <w:t>тыс</w:t>
            </w:r>
            <w:proofErr w:type="gramStart"/>
            <w:r>
              <w:t>.р</w:t>
            </w:r>
            <w:proofErr w:type="gramEnd"/>
            <w:r>
              <w:t>уб.</w:t>
            </w:r>
          </w:p>
        </w:tc>
        <w:tc>
          <w:tcPr>
            <w:tcW w:w="1041" w:type="dxa"/>
            <w:vAlign w:val="center"/>
          </w:tcPr>
          <w:p>
            <w:pPr>
              <w:ind w:left="-108" w:right="-108"/>
              <w:jc w:val="center"/>
            </w:pPr>
            <w:r>
              <w:t xml:space="preserve">Факт, </w:t>
            </w:r>
            <w:r>
              <w:br/>
              <w:t>тыс.руб.</w:t>
            </w:r>
          </w:p>
        </w:tc>
        <w:tc>
          <w:tcPr>
            <w:tcW w:w="1218" w:type="dxa"/>
            <w:vAlign w:val="center"/>
          </w:tcPr>
          <w:p>
            <w:pPr>
              <w:pStyle w:val="a5"/>
              <w:tabs>
                <w:tab w:val="left" w:pos="-108"/>
                <w:tab w:val="left" w:pos="-77"/>
              </w:tabs>
              <w:spacing w:after="0"/>
              <w:ind w:left="-108" w:right="-108"/>
              <w:jc w:val="center"/>
            </w:pPr>
            <w:r>
              <w:t>Отклонение</w:t>
            </w:r>
          </w:p>
          <w:p>
            <w:pPr>
              <w:pStyle w:val="a5"/>
              <w:tabs>
                <w:tab w:val="left" w:pos="-108"/>
                <w:tab w:val="left" w:pos="-77"/>
              </w:tabs>
              <w:spacing w:after="0"/>
              <w:ind w:left="-108" w:right="-108"/>
              <w:jc w:val="center"/>
            </w:pPr>
            <w:r>
              <w:t>тыс.руб.</w:t>
            </w:r>
          </w:p>
        </w:tc>
        <w:tc>
          <w:tcPr>
            <w:tcW w:w="867" w:type="dxa"/>
            <w:vAlign w:val="center"/>
          </w:tcPr>
          <w:p>
            <w:pPr>
              <w:pStyle w:val="a5"/>
              <w:tabs>
                <w:tab w:val="left" w:pos="-192"/>
                <w:tab w:val="left" w:pos="-77"/>
              </w:tabs>
              <w:spacing w:after="0"/>
              <w:ind w:left="-108" w:right="-108"/>
              <w:jc w:val="center"/>
            </w:pPr>
            <w:r>
              <w:t>%</w:t>
            </w:r>
          </w:p>
          <w:p>
            <w:pPr>
              <w:pStyle w:val="a5"/>
              <w:tabs>
                <w:tab w:val="left" w:pos="-192"/>
                <w:tab w:val="left" w:pos="0"/>
              </w:tabs>
              <w:spacing w:after="0"/>
              <w:ind w:left="-108" w:right="-108"/>
              <w:jc w:val="center"/>
            </w:pPr>
            <w:proofErr w:type="spellStart"/>
            <w:proofErr w:type="gramStart"/>
            <w:r>
              <w:t>испол-нения</w:t>
            </w:r>
            <w:proofErr w:type="spellEnd"/>
            <w:proofErr w:type="gramEnd"/>
          </w:p>
        </w:tc>
      </w:tr>
      <w:tr>
        <w:tc>
          <w:tcPr>
            <w:tcW w:w="2802" w:type="dxa"/>
            <w:vAlign w:val="center"/>
          </w:tcPr>
          <w:p>
            <w:pPr>
              <w:pStyle w:val="a5"/>
              <w:tabs>
                <w:tab w:val="left" w:pos="3966"/>
              </w:tabs>
              <w:spacing w:after="0"/>
              <w:ind w:right="-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198" w:type="dxa"/>
            <w:shd w:val="clear" w:color="auto" w:fill="auto"/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310" w:type="dxa"/>
            <w:shd w:val="clear" w:color="auto" w:fill="auto"/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41" w:type="dxa"/>
            <w:shd w:val="clear" w:color="auto" w:fill="auto"/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218" w:type="dxa"/>
            <w:shd w:val="clear" w:color="auto" w:fill="auto"/>
            <w:vAlign w:val="center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6=5-4</w:t>
            </w:r>
          </w:p>
        </w:tc>
        <w:tc>
          <w:tcPr>
            <w:tcW w:w="867" w:type="dxa"/>
            <w:shd w:val="clear" w:color="auto" w:fill="auto"/>
            <w:vAlign w:val="center"/>
          </w:tcPr>
          <w:p>
            <w:pPr>
              <w:pStyle w:val="a5"/>
              <w:spacing w:after="0"/>
              <w:ind w:left="-57" w:right="-5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7=5/4</w:t>
            </w:r>
          </w:p>
        </w:tc>
      </w:tr>
      <w:tr>
        <w:trPr>
          <w:trHeight w:val="392"/>
        </w:trPr>
        <w:tc>
          <w:tcPr>
            <w:tcW w:w="2802" w:type="dxa"/>
            <w:vAlign w:val="center"/>
          </w:tcPr>
          <w:p>
            <w:pPr>
              <w:ind w:right="-108"/>
            </w:pPr>
            <w:r>
              <w:t>Прочие неналоговые доходы</w:t>
            </w:r>
          </w:p>
        </w:tc>
        <w:tc>
          <w:tcPr>
            <w:tcW w:w="1134" w:type="dxa"/>
            <w:vAlign w:val="center"/>
          </w:tcPr>
          <w:p>
            <w:pPr>
              <w:spacing w:before="40" w:after="40"/>
              <w:ind w:left="-108" w:right="-57"/>
              <w:jc w:val="right"/>
            </w:pPr>
            <w:r>
              <w:t>6 377,68</w:t>
            </w:r>
          </w:p>
        </w:tc>
        <w:tc>
          <w:tcPr>
            <w:tcW w:w="1198" w:type="dxa"/>
            <w:shd w:val="clear" w:color="auto" w:fill="auto"/>
            <w:vAlign w:val="center"/>
          </w:tcPr>
          <w:p>
            <w:pPr>
              <w:spacing w:before="40" w:after="40"/>
              <w:ind w:left="-108" w:right="-57"/>
              <w:jc w:val="right"/>
            </w:pPr>
            <w:r>
              <w:t>176,40</w:t>
            </w:r>
          </w:p>
        </w:tc>
        <w:tc>
          <w:tcPr>
            <w:tcW w:w="1310" w:type="dxa"/>
            <w:shd w:val="clear" w:color="auto" w:fill="auto"/>
            <w:vAlign w:val="center"/>
          </w:tcPr>
          <w:p>
            <w:pPr>
              <w:spacing w:before="40" w:after="40"/>
              <w:ind w:left="-108" w:right="-57"/>
              <w:jc w:val="right"/>
            </w:pPr>
            <w:r>
              <w:t>3 554,50</w:t>
            </w:r>
          </w:p>
        </w:tc>
        <w:tc>
          <w:tcPr>
            <w:tcW w:w="1041" w:type="dxa"/>
            <w:shd w:val="clear" w:color="auto" w:fill="auto"/>
            <w:vAlign w:val="center"/>
          </w:tcPr>
          <w:p>
            <w:pPr>
              <w:spacing w:before="40" w:after="40"/>
              <w:ind w:left="-108" w:right="-57"/>
              <w:jc w:val="right"/>
            </w:pPr>
            <w:r>
              <w:t>9 954,46</w:t>
            </w:r>
          </w:p>
        </w:tc>
        <w:tc>
          <w:tcPr>
            <w:tcW w:w="1218" w:type="dxa"/>
            <w:shd w:val="clear" w:color="auto" w:fill="auto"/>
            <w:vAlign w:val="center"/>
          </w:tcPr>
          <w:p>
            <w:pPr>
              <w:spacing w:before="40" w:after="40"/>
              <w:ind w:left="-108" w:right="-57"/>
              <w:jc w:val="right"/>
            </w:pPr>
            <w:r>
              <w:t>6 399,96</w:t>
            </w:r>
          </w:p>
        </w:tc>
        <w:tc>
          <w:tcPr>
            <w:tcW w:w="867" w:type="dxa"/>
            <w:shd w:val="clear" w:color="auto" w:fill="auto"/>
            <w:vAlign w:val="center"/>
          </w:tcPr>
          <w:p>
            <w:pPr>
              <w:spacing w:before="40" w:after="40"/>
              <w:ind w:left="-108" w:right="-108"/>
              <w:jc w:val="center"/>
            </w:pPr>
            <w:r>
              <w:t>280,1</w:t>
            </w:r>
          </w:p>
        </w:tc>
      </w:tr>
    </w:tbl>
    <w:p>
      <w:pPr>
        <w:tabs>
          <w:tab w:val="left" w:pos="0"/>
        </w:tabs>
        <w:jc w:val="both"/>
        <w:rPr>
          <w:sz w:val="24"/>
          <w:szCs w:val="24"/>
          <w:highlight w:val="yellow"/>
        </w:rPr>
      </w:pPr>
    </w:p>
    <w:p>
      <w:pPr>
        <w:pStyle w:val="a5"/>
        <w:spacing w:before="120"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3.3. БЕЗВОЗМЕЗДНЫЕ ПОСТУПЛЕНИЯ</w:t>
      </w:r>
    </w:p>
    <w:p>
      <w:pPr>
        <w:pStyle w:val="a5"/>
        <w:spacing w:after="0"/>
        <w:ind w:firstLine="709"/>
        <w:jc w:val="center"/>
        <w:rPr>
          <w:b/>
          <w:sz w:val="24"/>
          <w:szCs w:val="24"/>
        </w:rPr>
      </w:pPr>
    </w:p>
    <w:p>
      <w:pPr>
        <w:pStyle w:val="a8"/>
        <w:spacing w:after="0"/>
        <w:ind w:left="0" w:firstLine="74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Безвозмездные поступления – это основная составляющая поступлений доходов бюджета ЗАТО Северск. </w:t>
      </w:r>
    </w:p>
    <w:p>
      <w:pPr>
        <w:ind w:firstLine="74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Первоначально утвержденный прогноз 2019 года составлял 1 848 398,50 тыс.руб., уточненный прогноз - 3 417 706,32 тыс.руб., фактическое исполнение – 3 405 413,15 тыс.руб. или 99,6%. </w:t>
      </w:r>
    </w:p>
    <w:p>
      <w:pPr>
        <w:ind w:firstLine="748"/>
        <w:jc w:val="both"/>
        <w:rPr>
          <w:sz w:val="24"/>
          <w:szCs w:val="24"/>
        </w:rPr>
      </w:pPr>
      <w:r>
        <w:rPr>
          <w:sz w:val="24"/>
          <w:szCs w:val="24"/>
        </w:rPr>
        <w:t>Удельный вес доходов по данной группе в общей структуре фактически поступивших доходов составляет 75,1%.</w:t>
      </w:r>
    </w:p>
    <w:p>
      <w:pPr>
        <w:spacing w:before="120" w:after="60"/>
        <w:ind w:firstLine="748"/>
        <w:jc w:val="both"/>
        <w:rPr>
          <w:sz w:val="24"/>
          <w:szCs w:val="24"/>
        </w:rPr>
      </w:pPr>
      <w:r>
        <w:rPr>
          <w:sz w:val="24"/>
          <w:szCs w:val="24"/>
        </w:rPr>
        <w:t>Таблица 39. Сравнительный анализ безвозмездных поступлений в бюджет ЗАТО Северск за 2018-2019 гг.</w:t>
      </w:r>
    </w:p>
    <w:tbl>
      <w:tblPr>
        <w:tblW w:w="9651" w:type="dxa"/>
        <w:tblInd w:w="96" w:type="dxa"/>
        <w:shd w:val="clear" w:color="auto" w:fill="F2F2F2" w:themeFill="background1" w:themeFillShade="F2"/>
        <w:tblLayout w:type="fixed"/>
        <w:tblLook w:val="0000"/>
      </w:tblPr>
      <w:tblGrid>
        <w:gridCol w:w="1997"/>
        <w:gridCol w:w="1134"/>
        <w:gridCol w:w="1276"/>
        <w:gridCol w:w="1275"/>
        <w:gridCol w:w="1276"/>
        <w:gridCol w:w="992"/>
        <w:gridCol w:w="993"/>
        <w:gridCol w:w="708"/>
      </w:tblGrid>
      <w:tr>
        <w:trPr>
          <w:trHeight w:val="444"/>
        </w:trPr>
        <w:tc>
          <w:tcPr>
            <w:tcW w:w="19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>
            <w:pPr>
              <w:ind w:right="-170"/>
              <w:jc w:val="center"/>
            </w:pPr>
            <w:r>
              <w:t>Наименование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>
            <w:pPr>
              <w:jc w:val="center"/>
            </w:pPr>
            <w:r>
              <w:t>Факт 2018 год,</w:t>
            </w:r>
            <w:r>
              <w:br/>
              <w:t>тыс</w:t>
            </w:r>
            <w:proofErr w:type="gramStart"/>
            <w:r>
              <w:t>.р</w:t>
            </w:r>
            <w:proofErr w:type="gramEnd"/>
            <w:r>
              <w:t>уб.</w:t>
            </w:r>
          </w:p>
        </w:tc>
        <w:tc>
          <w:tcPr>
            <w:tcW w:w="481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>
            <w:pPr>
              <w:jc w:val="center"/>
            </w:pPr>
            <w:r>
              <w:t>2019 год, тыс.руб.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>
            <w:pPr>
              <w:ind w:left="-108" w:right="-108"/>
              <w:jc w:val="center"/>
            </w:pPr>
            <w:r>
              <w:t>Отклонение (факт 2019г.- факт 2018г.)</w:t>
            </w:r>
          </w:p>
        </w:tc>
      </w:tr>
      <w:tr>
        <w:trPr>
          <w:trHeight w:val="937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>
            <w:pPr>
              <w:ind w:right="-170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/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>
            <w:pPr>
              <w:ind w:left="-57" w:right="-57"/>
              <w:jc w:val="center"/>
            </w:pPr>
            <w:r>
              <w:t xml:space="preserve">Прогноз </w:t>
            </w:r>
            <w:proofErr w:type="spellStart"/>
            <w:proofErr w:type="gramStart"/>
            <w:r>
              <w:t>перво-начальный</w:t>
            </w:r>
            <w:proofErr w:type="spellEnd"/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>
            <w:pPr>
              <w:ind w:left="-57" w:right="-57"/>
              <w:jc w:val="center"/>
            </w:pPr>
            <w:r>
              <w:t xml:space="preserve">Прогноз уточненный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>
            <w:pPr>
              <w:ind w:left="-57" w:right="-57"/>
              <w:jc w:val="center"/>
            </w:pPr>
            <w:r>
              <w:t xml:space="preserve">Факт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>
            <w:pPr>
              <w:ind w:left="-57" w:right="-57"/>
              <w:jc w:val="center"/>
            </w:pPr>
            <w:proofErr w:type="spellStart"/>
            <w:proofErr w:type="gramStart"/>
            <w:r>
              <w:t>Откло-нение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>
            <w:pPr>
              <w:ind w:left="-57" w:right="-57"/>
              <w:jc w:val="center"/>
            </w:pPr>
            <w:proofErr w:type="spellStart"/>
            <w:r>
              <w:t>абсол</w:t>
            </w:r>
            <w:proofErr w:type="spellEnd"/>
            <w:r>
              <w:t>., тыс</w:t>
            </w:r>
            <w:proofErr w:type="gramStart"/>
            <w:r>
              <w:t>.р</w:t>
            </w:r>
            <w:proofErr w:type="gramEnd"/>
            <w:r>
              <w:t>уб.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>
            <w:pPr>
              <w:ind w:left="-113" w:right="-113"/>
              <w:jc w:val="center"/>
            </w:pPr>
            <w:r>
              <w:t xml:space="preserve">% </w:t>
            </w:r>
            <w:proofErr w:type="spellStart"/>
            <w:proofErr w:type="gramStart"/>
            <w:r>
              <w:t>испол-нения</w:t>
            </w:r>
            <w:proofErr w:type="spellEnd"/>
            <w:proofErr w:type="gramEnd"/>
          </w:p>
        </w:tc>
      </w:tr>
      <w:tr>
        <w:trPr>
          <w:trHeight w:val="125"/>
        </w:trPr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>
            <w:pPr>
              <w:ind w:right="-17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>
            <w:pPr>
              <w:ind w:left="-108" w:right="-57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>
            <w:pPr>
              <w:ind w:left="-57" w:right="-57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>
            <w:pPr>
              <w:ind w:left="-57" w:right="-57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>
            <w:pPr>
              <w:ind w:left="-57" w:right="-57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>
            <w:pPr>
              <w:ind w:left="-57" w:right="-57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6=5-4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>
            <w:pPr>
              <w:ind w:left="-57" w:right="-57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7=5-2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8=5/2</w:t>
            </w:r>
          </w:p>
        </w:tc>
      </w:tr>
      <w:tr>
        <w:trPr>
          <w:trHeight w:val="602"/>
        </w:trPr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>
            <w:pPr>
              <w:ind w:right="-170"/>
              <w:rPr>
                <w:b/>
                <w:bCs/>
              </w:rPr>
            </w:pPr>
            <w:r>
              <w:rPr>
                <w:b/>
                <w:bCs/>
              </w:rPr>
              <w:t xml:space="preserve">БЕЗВОЗМЕЗДНЫЕ ПОСТУПЛЕНИЯ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left w:w="57" w:type="dxa"/>
              <w:right w:w="57" w:type="dxa"/>
            </w:tcMar>
            <w:vAlign w:val="center"/>
          </w:tcPr>
          <w:p>
            <w:pPr>
              <w:ind w:left="-57" w:right="-28"/>
              <w:jc w:val="right"/>
            </w:pPr>
            <w:r>
              <w:t>3 149 951,90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left w:w="57" w:type="dxa"/>
              <w:right w:w="57" w:type="dxa"/>
            </w:tcMar>
            <w:vAlign w:val="center"/>
          </w:tcPr>
          <w:p>
            <w:pPr>
              <w:ind w:left="-57" w:right="-28"/>
              <w:jc w:val="right"/>
            </w:pPr>
            <w:r>
              <w:t>1 848 398,50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left w:w="57" w:type="dxa"/>
              <w:right w:w="57" w:type="dxa"/>
            </w:tcMar>
            <w:vAlign w:val="center"/>
          </w:tcPr>
          <w:p>
            <w:pPr>
              <w:ind w:left="-57" w:right="-28"/>
              <w:jc w:val="right"/>
            </w:pPr>
            <w:r>
              <w:t>3 417 706,32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left w:w="57" w:type="dxa"/>
              <w:right w:w="57" w:type="dxa"/>
            </w:tcMar>
            <w:vAlign w:val="center"/>
          </w:tcPr>
          <w:p>
            <w:pPr>
              <w:ind w:left="-57" w:right="-28"/>
              <w:jc w:val="right"/>
            </w:pPr>
            <w:r>
              <w:t>3 405 413,15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tcMar>
              <w:left w:w="57" w:type="dxa"/>
              <w:right w:w="57" w:type="dxa"/>
            </w:tcMar>
            <w:vAlign w:val="center"/>
          </w:tcPr>
          <w:p>
            <w:pPr>
              <w:ind w:left="-57" w:right="-28"/>
              <w:jc w:val="right"/>
            </w:pPr>
            <w:r>
              <w:t>-12 293,17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tcMar>
              <w:left w:w="57" w:type="dxa"/>
              <w:right w:w="57" w:type="dxa"/>
            </w:tcMar>
            <w:vAlign w:val="center"/>
          </w:tcPr>
          <w:p>
            <w:pPr>
              <w:ind w:left="-57" w:right="-28"/>
              <w:jc w:val="right"/>
            </w:pPr>
            <w:r>
              <w:t>255 461,25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tcMar>
              <w:left w:w="57" w:type="dxa"/>
              <w:right w:w="57" w:type="dxa"/>
            </w:tcMar>
            <w:vAlign w:val="center"/>
          </w:tcPr>
          <w:p>
            <w:pPr>
              <w:ind w:right="-57"/>
              <w:jc w:val="center"/>
            </w:pPr>
            <w:r>
              <w:t>108,1</w:t>
            </w:r>
          </w:p>
        </w:tc>
      </w:tr>
      <w:tr>
        <w:trPr>
          <w:trHeight w:val="413"/>
        </w:trPr>
        <w:tc>
          <w:tcPr>
            <w:tcW w:w="1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>
            <w:pPr>
              <w:ind w:left="-57" w:right="-113"/>
            </w:pPr>
            <w:r>
              <w:t>От других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left w:w="57" w:type="dxa"/>
              <w:right w:w="57" w:type="dxa"/>
            </w:tcMar>
            <w:vAlign w:val="center"/>
          </w:tcPr>
          <w:p>
            <w:pPr>
              <w:ind w:left="-57" w:right="-28"/>
              <w:jc w:val="right"/>
            </w:pPr>
            <w:r>
              <w:t>3 161 897,04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left w:w="57" w:type="dxa"/>
              <w:right w:w="57" w:type="dxa"/>
            </w:tcMar>
            <w:vAlign w:val="center"/>
          </w:tcPr>
          <w:p>
            <w:pPr>
              <w:ind w:left="-57" w:right="-28"/>
              <w:jc w:val="right"/>
            </w:pPr>
            <w:r>
              <w:t>1 848 398,50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left w:w="57" w:type="dxa"/>
              <w:right w:w="57" w:type="dxa"/>
            </w:tcMar>
            <w:vAlign w:val="center"/>
          </w:tcPr>
          <w:p>
            <w:pPr>
              <w:ind w:left="-57" w:right="-28"/>
              <w:jc w:val="right"/>
            </w:pPr>
            <w:r>
              <w:t>3 425 773,26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left w:w="57" w:type="dxa"/>
              <w:right w:w="57" w:type="dxa"/>
            </w:tcMar>
            <w:vAlign w:val="center"/>
          </w:tcPr>
          <w:p>
            <w:pPr>
              <w:ind w:left="-57" w:right="-28"/>
              <w:jc w:val="right"/>
            </w:pPr>
            <w:r>
              <w:t>3 413 480,09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57" w:type="dxa"/>
              <w:right w:w="57" w:type="dxa"/>
            </w:tcMar>
            <w:vAlign w:val="center"/>
          </w:tcPr>
          <w:p>
            <w:pPr>
              <w:ind w:left="-57" w:right="-28"/>
              <w:jc w:val="right"/>
            </w:pPr>
            <w:r>
              <w:t>-12 293,17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tcMar>
              <w:left w:w="57" w:type="dxa"/>
              <w:right w:w="57" w:type="dxa"/>
            </w:tcMar>
            <w:vAlign w:val="center"/>
          </w:tcPr>
          <w:p>
            <w:pPr>
              <w:ind w:left="-57" w:right="-28"/>
              <w:jc w:val="right"/>
            </w:pPr>
            <w:r>
              <w:t>251 583,05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tcMar>
              <w:left w:w="57" w:type="dxa"/>
              <w:right w:w="57" w:type="dxa"/>
            </w:tcMar>
            <w:vAlign w:val="center"/>
          </w:tcPr>
          <w:p>
            <w:pPr>
              <w:ind w:right="-57"/>
              <w:jc w:val="center"/>
            </w:pPr>
            <w:r>
              <w:t>108,0</w:t>
            </w:r>
          </w:p>
        </w:tc>
      </w:tr>
      <w:tr>
        <w:trPr>
          <w:trHeight w:val="240"/>
        </w:trPr>
        <w:tc>
          <w:tcPr>
            <w:tcW w:w="1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>
            <w:pPr>
              <w:ind w:left="-57" w:right="-113"/>
            </w:pPr>
            <w:r>
              <w:t>От негосударственных организаций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left w:w="57" w:type="dxa"/>
              <w:right w:w="57" w:type="dxa"/>
            </w:tcMar>
            <w:vAlign w:val="center"/>
          </w:tcPr>
          <w:p>
            <w:pPr>
              <w:ind w:left="-57" w:right="-28"/>
              <w:jc w:val="right"/>
            </w:pPr>
            <w:r>
              <w:t>994,96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left w:w="57" w:type="dxa"/>
              <w:right w:w="57" w:type="dxa"/>
            </w:tcMar>
            <w:vAlign w:val="center"/>
          </w:tcPr>
          <w:p>
            <w:pPr>
              <w:ind w:left="-57" w:right="-28"/>
              <w:jc w:val="right"/>
            </w:pPr>
            <w: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left w:w="57" w:type="dxa"/>
              <w:right w:w="57" w:type="dxa"/>
            </w:tcMar>
            <w:vAlign w:val="center"/>
          </w:tcPr>
          <w:p>
            <w:pPr>
              <w:ind w:left="-57" w:right="-28"/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left w:w="57" w:type="dxa"/>
              <w:right w:w="57" w:type="dxa"/>
            </w:tcMar>
            <w:vAlign w:val="center"/>
          </w:tcPr>
          <w:p>
            <w:pPr>
              <w:ind w:left="-57" w:right="-28"/>
              <w:jc w:val="right"/>
            </w:pPr>
            <w: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57" w:type="dxa"/>
              <w:right w:w="57" w:type="dxa"/>
            </w:tcMar>
            <w:vAlign w:val="center"/>
          </w:tcPr>
          <w:p>
            <w:pPr>
              <w:ind w:left="-57" w:right="-28"/>
              <w:jc w:val="right"/>
            </w:pPr>
            <w: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57" w:type="dxa"/>
              <w:right w:w="57" w:type="dxa"/>
            </w:tcMar>
            <w:vAlign w:val="center"/>
          </w:tcPr>
          <w:p>
            <w:pPr>
              <w:ind w:left="-57" w:right="-28"/>
              <w:jc w:val="right"/>
            </w:pPr>
            <w:r>
              <w:t>-994,96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57" w:type="dxa"/>
              <w:right w:w="57" w:type="dxa"/>
            </w:tcMar>
            <w:vAlign w:val="center"/>
          </w:tcPr>
          <w:p>
            <w:pPr>
              <w:ind w:right="-57"/>
              <w:jc w:val="center"/>
            </w:pPr>
            <w:r>
              <w:t>0,0</w:t>
            </w:r>
          </w:p>
        </w:tc>
      </w:tr>
      <w:tr>
        <w:trPr>
          <w:trHeight w:val="240"/>
        </w:trPr>
        <w:tc>
          <w:tcPr>
            <w:tcW w:w="1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>
            <w:pPr>
              <w:ind w:left="-57" w:right="-113"/>
            </w:pPr>
            <w:r>
              <w:t>Прочие безвозмездные поступления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left w:w="57" w:type="dxa"/>
              <w:right w:w="57" w:type="dxa"/>
            </w:tcMar>
            <w:vAlign w:val="center"/>
          </w:tcPr>
          <w:p>
            <w:pPr>
              <w:ind w:left="-57" w:right="-28"/>
              <w:jc w:val="right"/>
            </w:pPr>
            <w:r>
              <w:t>211,01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left w:w="57" w:type="dxa"/>
              <w:right w:w="57" w:type="dxa"/>
            </w:tcMar>
            <w:vAlign w:val="center"/>
          </w:tcPr>
          <w:p>
            <w:pPr>
              <w:ind w:left="-57" w:right="-28"/>
              <w:jc w:val="right"/>
            </w:pPr>
            <w: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left w:w="57" w:type="dxa"/>
              <w:right w:w="57" w:type="dxa"/>
            </w:tcMar>
            <w:vAlign w:val="center"/>
          </w:tcPr>
          <w:p>
            <w:pPr>
              <w:ind w:left="-57" w:right="-28"/>
              <w:jc w:val="right"/>
            </w:pPr>
            <w:r>
              <w:t>80,06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left w:w="57" w:type="dxa"/>
              <w:right w:w="57" w:type="dxa"/>
            </w:tcMar>
            <w:vAlign w:val="center"/>
          </w:tcPr>
          <w:p>
            <w:pPr>
              <w:ind w:left="-57" w:right="-28"/>
              <w:jc w:val="right"/>
            </w:pPr>
            <w:r>
              <w:t>80,06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57" w:type="dxa"/>
              <w:right w:w="57" w:type="dxa"/>
            </w:tcMar>
            <w:vAlign w:val="center"/>
          </w:tcPr>
          <w:p>
            <w:pPr>
              <w:ind w:left="-57" w:right="-28"/>
              <w:jc w:val="right"/>
            </w:pPr>
            <w: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57" w:type="dxa"/>
              <w:right w:w="57" w:type="dxa"/>
            </w:tcMar>
            <w:vAlign w:val="center"/>
          </w:tcPr>
          <w:p>
            <w:pPr>
              <w:ind w:left="-57" w:right="-28"/>
              <w:jc w:val="right"/>
            </w:pPr>
            <w:r>
              <w:t>-130,95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57" w:type="dxa"/>
              <w:right w:w="57" w:type="dxa"/>
            </w:tcMar>
            <w:vAlign w:val="center"/>
          </w:tcPr>
          <w:p>
            <w:pPr>
              <w:ind w:right="-57"/>
              <w:jc w:val="center"/>
            </w:pPr>
            <w:r>
              <w:t>37,9</w:t>
            </w:r>
          </w:p>
        </w:tc>
      </w:tr>
      <w:tr>
        <w:trPr>
          <w:trHeight w:val="730"/>
        </w:trPr>
        <w:tc>
          <w:tcPr>
            <w:tcW w:w="1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>
            <w:pPr>
              <w:ind w:left="-57" w:right="-113"/>
            </w:pPr>
            <w:r>
              <w:t>Доходы от возврата  остатков субсидий прошлых лет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left w:w="57" w:type="dxa"/>
              <w:right w:w="57" w:type="dxa"/>
            </w:tcMar>
            <w:vAlign w:val="center"/>
          </w:tcPr>
          <w:p>
            <w:pPr>
              <w:ind w:left="-57" w:right="-28"/>
              <w:jc w:val="right"/>
            </w:pPr>
            <w:r>
              <w:t>1 897,33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left w:w="57" w:type="dxa"/>
              <w:right w:w="57" w:type="dxa"/>
            </w:tcMar>
            <w:vAlign w:val="center"/>
          </w:tcPr>
          <w:p>
            <w:pPr>
              <w:ind w:left="-57" w:right="-28"/>
              <w:jc w:val="right"/>
            </w:pPr>
            <w: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left w:w="57" w:type="dxa"/>
              <w:right w:w="57" w:type="dxa"/>
            </w:tcMar>
            <w:vAlign w:val="center"/>
          </w:tcPr>
          <w:p>
            <w:pPr>
              <w:ind w:left="-57" w:right="-28"/>
              <w:jc w:val="right"/>
            </w:pPr>
            <w:r>
              <w:t>205,24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left w:w="57" w:type="dxa"/>
              <w:right w:w="57" w:type="dxa"/>
            </w:tcMar>
            <w:vAlign w:val="center"/>
          </w:tcPr>
          <w:p>
            <w:pPr>
              <w:ind w:left="-57" w:right="-28"/>
              <w:jc w:val="right"/>
            </w:pPr>
            <w:r>
              <w:t>205,24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57" w:type="dxa"/>
              <w:right w:w="57" w:type="dxa"/>
            </w:tcMar>
            <w:vAlign w:val="center"/>
          </w:tcPr>
          <w:p>
            <w:pPr>
              <w:ind w:left="-57" w:right="-28"/>
              <w:jc w:val="right"/>
            </w:pPr>
            <w: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tcMar>
              <w:left w:w="57" w:type="dxa"/>
              <w:right w:w="57" w:type="dxa"/>
            </w:tcMar>
            <w:vAlign w:val="center"/>
          </w:tcPr>
          <w:p>
            <w:pPr>
              <w:ind w:left="-57" w:right="-28"/>
              <w:jc w:val="right"/>
            </w:pPr>
            <w:r>
              <w:t>-1 692,09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tcMar>
              <w:left w:w="57" w:type="dxa"/>
              <w:right w:w="57" w:type="dxa"/>
            </w:tcMar>
            <w:vAlign w:val="center"/>
          </w:tcPr>
          <w:p>
            <w:pPr>
              <w:ind w:right="-57"/>
              <w:jc w:val="center"/>
            </w:pPr>
            <w:r>
              <w:t>10,8</w:t>
            </w:r>
          </w:p>
        </w:tc>
      </w:tr>
      <w:tr>
        <w:trPr>
          <w:trHeight w:val="839"/>
        </w:trPr>
        <w:tc>
          <w:tcPr>
            <w:tcW w:w="1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>
            <w:pPr>
              <w:ind w:left="-57" w:right="-113"/>
            </w:pPr>
            <w:r>
              <w:t>Возврат остатков субсидий и субвенций прошлых лет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left w:w="57" w:type="dxa"/>
              <w:right w:w="57" w:type="dxa"/>
            </w:tcMar>
            <w:vAlign w:val="center"/>
          </w:tcPr>
          <w:p>
            <w:pPr>
              <w:ind w:left="-57" w:right="-28"/>
              <w:jc w:val="right"/>
            </w:pPr>
            <w:r>
              <w:t>-15 048,44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left w:w="57" w:type="dxa"/>
              <w:right w:w="57" w:type="dxa"/>
            </w:tcMar>
            <w:vAlign w:val="center"/>
          </w:tcPr>
          <w:p>
            <w:pPr>
              <w:ind w:left="-57" w:right="-28"/>
              <w:jc w:val="right"/>
            </w:pPr>
            <w: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left w:w="57" w:type="dxa"/>
              <w:right w:w="57" w:type="dxa"/>
            </w:tcMar>
            <w:vAlign w:val="center"/>
          </w:tcPr>
          <w:p>
            <w:pPr>
              <w:ind w:left="-57" w:right="-28"/>
              <w:jc w:val="right"/>
            </w:pPr>
            <w:r>
              <w:t>-8 352,24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left w:w="57" w:type="dxa"/>
              <w:right w:w="57" w:type="dxa"/>
            </w:tcMar>
            <w:vAlign w:val="center"/>
          </w:tcPr>
          <w:p>
            <w:pPr>
              <w:ind w:left="-57" w:right="-28"/>
              <w:jc w:val="right"/>
            </w:pPr>
            <w:r>
              <w:t>-8 352,24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57" w:type="dxa"/>
              <w:right w:w="57" w:type="dxa"/>
            </w:tcMar>
            <w:vAlign w:val="center"/>
          </w:tcPr>
          <w:p>
            <w:pPr>
              <w:ind w:left="-57" w:right="-28"/>
              <w:jc w:val="right"/>
            </w:pPr>
            <w: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57" w:type="dxa"/>
              <w:right w:w="57" w:type="dxa"/>
            </w:tcMar>
            <w:vAlign w:val="center"/>
          </w:tcPr>
          <w:p>
            <w:pPr>
              <w:ind w:left="-57" w:right="-28"/>
              <w:jc w:val="right"/>
            </w:pPr>
            <w:r>
              <w:t>6 696,20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57" w:type="dxa"/>
              <w:right w:w="57" w:type="dxa"/>
            </w:tcMar>
            <w:vAlign w:val="center"/>
          </w:tcPr>
          <w:p>
            <w:pPr>
              <w:ind w:right="-57"/>
              <w:jc w:val="center"/>
            </w:pPr>
            <w:r>
              <w:t>55,5</w:t>
            </w:r>
          </w:p>
        </w:tc>
      </w:tr>
    </w:tbl>
    <w:p>
      <w:pPr>
        <w:ind w:right="22" w:firstLine="720"/>
        <w:jc w:val="both"/>
        <w:rPr>
          <w:sz w:val="24"/>
          <w:szCs w:val="24"/>
          <w:highlight w:val="yellow"/>
        </w:rPr>
      </w:pPr>
    </w:p>
    <w:p>
      <w:pPr>
        <w:ind w:right="22" w:firstLine="720"/>
        <w:jc w:val="center"/>
        <w:rPr>
          <w:b/>
          <w:sz w:val="24"/>
          <w:szCs w:val="24"/>
        </w:rPr>
      </w:pPr>
    </w:p>
    <w:p>
      <w:pPr>
        <w:ind w:right="22" w:firstLine="720"/>
        <w:jc w:val="center"/>
        <w:rPr>
          <w:b/>
          <w:sz w:val="16"/>
          <w:szCs w:val="16"/>
        </w:rPr>
      </w:pPr>
    </w:p>
    <w:p>
      <w:pPr>
        <w:ind w:right="22" w:firstLine="7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3.3.1. Безвозмездные поступления от других бюджетов</w:t>
      </w:r>
    </w:p>
    <w:p>
      <w:pPr>
        <w:spacing w:after="200"/>
        <w:ind w:right="23" w:firstLine="720"/>
        <w:jc w:val="center"/>
        <w:rPr>
          <w:sz w:val="24"/>
          <w:szCs w:val="24"/>
        </w:rPr>
      </w:pPr>
      <w:r>
        <w:rPr>
          <w:b/>
          <w:sz w:val="24"/>
          <w:szCs w:val="24"/>
        </w:rPr>
        <w:t>бюджетной системы Российской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Федерации</w:t>
      </w:r>
    </w:p>
    <w:p>
      <w:pPr>
        <w:ind w:right="22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Первоначально утвержденный прогноз по данной статье составлял 1 848 398,50 тыс.руб. В течение года в соответствии с законодательными актами Томской области, на основании уведомлений департаментов Томской области межбюджетные трансферты сальдировано увеличились на 1 577 374,76 тыс.руб., в том числе: </w:t>
      </w:r>
    </w:p>
    <w:p>
      <w:pPr>
        <w:pStyle w:val="af8"/>
        <w:tabs>
          <w:tab w:val="left" w:pos="993"/>
        </w:tabs>
        <w:spacing w:before="40"/>
        <w:ind w:left="709" w:right="23"/>
        <w:jc w:val="both"/>
        <w:rPr>
          <w:sz w:val="24"/>
          <w:szCs w:val="24"/>
        </w:rPr>
      </w:pPr>
      <w:r>
        <w:rPr>
          <w:sz w:val="24"/>
          <w:szCs w:val="24"/>
        </w:rPr>
        <w:t>- 729 143,28 тыс.руб. по субвенциям;</w:t>
      </w:r>
    </w:p>
    <w:p>
      <w:pPr>
        <w:pStyle w:val="af8"/>
        <w:tabs>
          <w:tab w:val="left" w:pos="993"/>
        </w:tabs>
        <w:spacing w:before="40"/>
        <w:ind w:left="709" w:right="23"/>
        <w:jc w:val="both"/>
        <w:rPr>
          <w:sz w:val="24"/>
          <w:szCs w:val="24"/>
        </w:rPr>
      </w:pPr>
      <w:r>
        <w:rPr>
          <w:sz w:val="24"/>
          <w:szCs w:val="24"/>
        </w:rPr>
        <w:t>- 554 377,02 тыс.руб. по субсидиям;</w:t>
      </w:r>
    </w:p>
    <w:p>
      <w:pPr>
        <w:pStyle w:val="af8"/>
        <w:tabs>
          <w:tab w:val="left" w:pos="993"/>
        </w:tabs>
        <w:spacing w:before="40"/>
        <w:ind w:left="709" w:right="23"/>
        <w:jc w:val="both"/>
        <w:rPr>
          <w:sz w:val="24"/>
          <w:szCs w:val="24"/>
        </w:rPr>
      </w:pPr>
      <w:r>
        <w:rPr>
          <w:sz w:val="24"/>
          <w:szCs w:val="24"/>
        </w:rPr>
        <w:t>- 285 593,21 тыс.руб. по иным межбюджетным трансфертам;</w:t>
      </w:r>
    </w:p>
    <w:p>
      <w:pPr>
        <w:pStyle w:val="af8"/>
        <w:tabs>
          <w:tab w:val="left" w:pos="993"/>
        </w:tabs>
        <w:spacing w:before="40"/>
        <w:ind w:left="709" w:right="23"/>
        <w:jc w:val="both"/>
        <w:rPr>
          <w:sz w:val="24"/>
          <w:szCs w:val="24"/>
        </w:rPr>
      </w:pPr>
      <w:r>
        <w:rPr>
          <w:sz w:val="24"/>
          <w:szCs w:val="24"/>
        </w:rPr>
        <w:t>- 8 261,25 тыс.руб. по дотациям.</w:t>
      </w:r>
    </w:p>
    <w:p>
      <w:pPr>
        <w:ind w:right="22" w:firstLine="720"/>
        <w:jc w:val="both"/>
        <w:rPr>
          <w:sz w:val="24"/>
          <w:szCs w:val="24"/>
        </w:rPr>
      </w:pPr>
      <w:r>
        <w:rPr>
          <w:sz w:val="24"/>
          <w:szCs w:val="24"/>
        </w:rPr>
        <w:t>Последняя редакция прогноза доходов по безвозмездным поступлениям была утверждена Решением Думы ЗАТО Северск от 23.12.2019 № 59/1 в сумме 3 422 517,16 тыс.руб. и уточнена Приказом начальника Финансового управления от 26.12.2019 № 118 с учетом поступившей справки об изменении бюджетной росписи и лимитов бюджетных обязательств Департамента финансов Томской области на 3 256,10 тыс.руб.</w:t>
      </w:r>
    </w:p>
    <w:p>
      <w:pPr>
        <w:spacing w:before="120"/>
        <w:ind w:right="23" w:firstLine="720"/>
        <w:jc w:val="both"/>
        <w:rPr>
          <w:sz w:val="24"/>
          <w:szCs w:val="24"/>
        </w:rPr>
      </w:pPr>
      <w:r>
        <w:rPr>
          <w:sz w:val="24"/>
          <w:szCs w:val="24"/>
        </w:rPr>
        <w:t>Фактически за 2019 год поступило межбюджетных трансфертов на сумму 3 413 480,09 тыс.руб., исполнение 99,6%. Невыполнение в сумме 12 293,17 тыс.руб. обусловлено в основном недофинансированием:</w:t>
      </w:r>
    </w:p>
    <w:p>
      <w:pPr>
        <w:ind w:right="22" w:firstLine="720"/>
        <w:jc w:val="both"/>
        <w:rPr>
          <w:sz w:val="24"/>
          <w:szCs w:val="24"/>
        </w:rPr>
      </w:pPr>
      <w:r>
        <w:rPr>
          <w:sz w:val="24"/>
          <w:szCs w:val="24"/>
        </w:rPr>
        <w:t>- по субсидии на софинансирование капитальных вложений в объекты муниципальной собственности (на разработку проектной документации на строительство сетей газоснабжения на территории опережающего развития «Северск»…) на сумму 5 235,6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уб.;</w:t>
      </w:r>
    </w:p>
    <w:p>
      <w:pPr>
        <w:ind w:right="22" w:firstLine="720"/>
        <w:jc w:val="both"/>
        <w:rPr>
          <w:sz w:val="24"/>
          <w:szCs w:val="24"/>
        </w:rPr>
      </w:pPr>
      <w:r>
        <w:rPr>
          <w:sz w:val="24"/>
          <w:szCs w:val="24"/>
        </w:rPr>
        <w:t>- по субвенции на содержание ребенка в семье опекуна и приемной семье, а также вознаграждение, причитающееся приемному родителю (на ежемесячную выплату денежных средств опекунам…) на сумму 5 490,40 тыс.руб.</w:t>
      </w:r>
    </w:p>
    <w:p>
      <w:pPr>
        <w:pStyle w:val="a5"/>
        <w:spacing w:before="120" w:after="0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По сравнению с 2018 годом поступление межбюджетных трансфертов сальдировано увеличилось на 251 583,05 тыс.руб., в том числе:</w:t>
      </w:r>
    </w:p>
    <w:p>
      <w:pPr>
        <w:pStyle w:val="a5"/>
        <w:shd w:val="clear" w:color="auto" w:fill="FFFFFF" w:themeFill="background1"/>
        <w:spacing w:before="60" w:after="0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- по субсидиям увеличение на 174 313,01 тыс.руб. в основном за счет субсидий на софинансирование капитальных вложений в объекты муниципальной собственности - 57 168,54 тыс.руб.; на поддержку отрасли культуры – 45 731,84 тыс.руб.; на ремонт автомобильных дорог – 17 885,25 тыс.руб.; на формирование современной городской среды – 19 044,02 тыс.руб.; на поддержку предпринимательства - 11 831,33 тыс.руб.;</w:t>
      </w:r>
    </w:p>
    <w:p>
      <w:pPr>
        <w:pStyle w:val="a5"/>
        <w:shd w:val="clear" w:color="auto" w:fill="FFFFFF" w:themeFill="background1"/>
        <w:spacing w:before="60" w:after="0"/>
        <w:ind w:firstLine="720"/>
        <w:jc w:val="both"/>
        <w:rPr>
          <w:sz w:val="24"/>
          <w:szCs w:val="24"/>
        </w:rPr>
      </w:pPr>
      <w:r>
        <w:rPr>
          <w:sz w:val="24"/>
          <w:szCs w:val="24"/>
          <w:shd w:val="clear" w:color="auto" w:fill="FFFFFF" w:themeFill="background1"/>
        </w:rPr>
        <w:t xml:space="preserve">- по иным межбюджетным трансфертам увеличение на 60 196,35 тыс.руб., </w:t>
      </w:r>
      <w:r>
        <w:rPr>
          <w:sz w:val="24"/>
          <w:szCs w:val="24"/>
        </w:rPr>
        <w:t>из них по трансфертам на финансовое обеспечение дорожной деятельности в рамках реализации национального проекта «Безопасные и качественные автомобильные дороги» - 35 000,00 тыс.руб.; по «дорожным картам» в части повышения заработной платы педагогическим работникам на 27 572,00 тыс.руб.;</w:t>
      </w:r>
    </w:p>
    <w:p>
      <w:pPr>
        <w:pStyle w:val="a5"/>
        <w:shd w:val="clear" w:color="auto" w:fill="FFFFFF" w:themeFill="background1"/>
        <w:spacing w:before="60" w:after="0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- по субвенциям увеличение на 32 646,94 тыс.руб., из них по государственным гарантиям на получение образования - 17 996,50 тыс.руб.; по субвенциям на содержание ребенка в приемной семье – 8 466,00 тыс.руб.</w:t>
      </w:r>
    </w:p>
    <w:p>
      <w:pPr>
        <w:pStyle w:val="a5"/>
        <w:shd w:val="clear" w:color="auto" w:fill="FFFFFF" w:themeFill="background1"/>
        <w:spacing w:before="60" w:after="0"/>
        <w:ind w:firstLine="720"/>
        <w:jc w:val="both"/>
        <w:rPr>
          <w:sz w:val="24"/>
          <w:szCs w:val="24"/>
        </w:rPr>
      </w:pPr>
      <w:r>
        <w:rPr>
          <w:sz w:val="24"/>
          <w:szCs w:val="24"/>
          <w:shd w:val="clear" w:color="auto" w:fill="FFFFFF" w:themeFill="background1"/>
        </w:rPr>
        <w:t>- по дотациям снижение на 15 573,25 тыс.руб., в</w:t>
      </w:r>
      <w:r>
        <w:rPr>
          <w:sz w:val="24"/>
          <w:szCs w:val="24"/>
        </w:rPr>
        <w:t xml:space="preserve"> том числе: из федерального бюджета снижение на 41 869,50 тыс.руб., из областного бюджета увеличение на 26 296,25 тыс.руб.</w:t>
      </w:r>
    </w:p>
    <w:p>
      <w:pPr>
        <w:pStyle w:val="a5"/>
        <w:shd w:val="clear" w:color="auto" w:fill="FFFFFF" w:themeFill="background1"/>
        <w:spacing w:before="120" w:after="60"/>
        <w:ind w:firstLine="709"/>
        <w:jc w:val="both"/>
        <w:rPr>
          <w:sz w:val="24"/>
          <w:szCs w:val="24"/>
        </w:rPr>
      </w:pPr>
    </w:p>
    <w:p>
      <w:pPr>
        <w:pStyle w:val="a5"/>
        <w:shd w:val="clear" w:color="auto" w:fill="FFFFFF" w:themeFill="background1"/>
        <w:spacing w:before="120" w:after="60"/>
        <w:ind w:firstLine="709"/>
        <w:jc w:val="both"/>
        <w:rPr>
          <w:sz w:val="24"/>
          <w:szCs w:val="24"/>
        </w:rPr>
      </w:pPr>
    </w:p>
    <w:p>
      <w:pPr>
        <w:pStyle w:val="a5"/>
        <w:shd w:val="clear" w:color="auto" w:fill="FFFFFF" w:themeFill="background1"/>
        <w:spacing w:before="120" w:after="60"/>
        <w:ind w:firstLine="709"/>
        <w:jc w:val="both"/>
        <w:rPr>
          <w:sz w:val="24"/>
          <w:szCs w:val="24"/>
        </w:rPr>
      </w:pPr>
    </w:p>
    <w:p>
      <w:pPr>
        <w:pStyle w:val="a5"/>
        <w:shd w:val="clear" w:color="auto" w:fill="FFFFFF" w:themeFill="background1"/>
        <w:spacing w:before="120" w:after="6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Таблица 40. Анализ исполнения по безвозмездным поступлениям от других бюджетов бюджетной системы Российской Федерации за 2018 - 2019 гг.</w:t>
      </w:r>
    </w:p>
    <w:tbl>
      <w:tblPr>
        <w:tblW w:w="9458" w:type="dxa"/>
        <w:tblInd w:w="96" w:type="dxa"/>
        <w:shd w:val="clear" w:color="auto" w:fill="F2F2F2" w:themeFill="background1" w:themeFillShade="F2"/>
        <w:tblLayout w:type="fixed"/>
        <w:tblLook w:val="0000"/>
      </w:tblPr>
      <w:tblGrid>
        <w:gridCol w:w="2280"/>
        <w:gridCol w:w="1190"/>
        <w:gridCol w:w="1362"/>
        <w:gridCol w:w="1293"/>
        <w:gridCol w:w="1366"/>
        <w:gridCol w:w="1155"/>
        <w:gridCol w:w="812"/>
      </w:tblGrid>
      <w:tr>
        <w:trPr>
          <w:trHeight w:val="444"/>
        </w:trPr>
        <w:tc>
          <w:tcPr>
            <w:tcW w:w="2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>
            <w:pPr>
              <w:ind w:right="-170"/>
              <w:jc w:val="center"/>
            </w:pPr>
            <w:r>
              <w:t>Наименование</w:t>
            </w:r>
          </w:p>
        </w:tc>
        <w:tc>
          <w:tcPr>
            <w:tcW w:w="11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>
            <w:pPr>
              <w:jc w:val="center"/>
            </w:pPr>
            <w:r>
              <w:t>Факт 2018 год,</w:t>
            </w:r>
            <w:r>
              <w:br/>
              <w:t>тыс</w:t>
            </w:r>
            <w:proofErr w:type="gramStart"/>
            <w:r>
              <w:t>.р</w:t>
            </w:r>
            <w:proofErr w:type="gramEnd"/>
            <w:r>
              <w:t>уб.</w:t>
            </w:r>
          </w:p>
        </w:tc>
        <w:tc>
          <w:tcPr>
            <w:tcW w:w="59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>
            <w:pPr>
              <w:ind w:left="-108" w:right="-108"/>
              <w:jc w:val="center"/>
            </w:pPr>
            <w:r>
              <w:t>2019 год, тыс.руб.</w:t>
            </w:r>
          </w:p>
        </w:tc>
      </w:tr>
      <w:tr>
        <w:trPr>
          <w:trHeight w:val="765"/>
        </w:trPr>
        <w:tc>
          <w:tcPr>
            <w:tcW w:w="2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>
            <w:pPr>
              <w:ind w:right="-170"/>
            </w:pPr>
          </w:p>
        </w:tc>
        <w:tc>
          <w:tcPr>
            <w:tcW w:w="11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/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>
            <w:pPr>
              <w:ind w:left="-57" w:right="-57"/>
              <w:jc w:val="center"/>
            </w:pPr>
            <w:r>
              <w:t xml:space="preserve">Прогноз </w:t>
            </w:r>
            <w:proofErr w:type="spellStart"/>
            <w:proofErr w:type="gramStart"/>
            <w:r>
              <w:t>перво-начальный</w:t>
            </w:r>
            <w:proofErr w:type="spellEnd"/>
            <w:proofErr w:type="gramEnd"/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>
            <w:pPr>
              <w:ind w:left="-57" w:right="-57"/>
              <w:jc w:val="center"/>
            </w:pPr>
            <w:r>
              <w:t xml:space="preserve">Прогноз уточненный </w:t>
            </w:r>
          </w:p>
        </w:tc>
        <w:tc>
          <w:tcPr>
            <w:tcW w:w="1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>
            <w:pPr>
              <w:ind w:left="-57" w:right="-57"/>
              <w:jc w:val="center"/>
            </w:pPr>
            <w:r>
              <w:t xml:space="preserve">Факт </w:t>
            </w:r>
          </w:p>
        </w:tc>
        <w:tc>
          <w:tcPr>
            <w:tcW w:w="1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>
            <w:pPr>
              <w:ind w:left="-57" w:right="-57"/>
              <w:jc w:val="center"/>
            </w:pPr>
            <w:proofErr w:type="spellStart"/>
            <w:proofErr w:type="gramStart"/>
            <w:r>
              <w:t>Откло-нение</w:t>
            </w:r>
            <w:proofErr w:type="spellEnd"/>
            <w:proofErr w:type="gramEnd"/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>
            <w:pPr>
              <w:ind w:left="-113" w:right="-113"/>
              <w:jc w:val="center"/>
            </w:pPr>
            <w:r>
              <w:t xml:space="preserve">% </w:t>
            </w:r>
            <w:proofErr w:type="spellStart"/>
            <w:proofErr w:type="gramStart"/>
            <w:r>
              <w:t>испол-нения</w:t>
            </w:r>
            <w:proofErr w:type="spellEnd"/>
            <w:proofErr w:type="gramEnd"/>
          </w:p>
        </w:tc>
      </w:tr>
      <w:tr>
        <w:trPr>
          <w:trHeight w:val="125"/>
        </w:trPr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>
            <w:pPr>
              <w:ind w:right="-17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>
            <w:pPr>
              <w:ind w:left="-108" w:right="-57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>
            <w:pPr>
              <w:ind w:left="-57" w:right="-57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>
            <w:pPr>
              <w:ind w:left="-57" w:right="-57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1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>
            <w:pPr>
              <w:ind w:left="-57" w:right="-57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115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>
            <w:pPr>
              <w:ind w:left="-57" w:right="-57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6=5-4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>
            <w:pPr>
              <w:ind w:left="-108" w:right="-108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7=5/4</w:t>
            </w:r>
          </w:p>
        </w:tc>
      </w:tr>
      <w:tr>
        <w:trPr>
          <w:trHeight w:val="264"/>
        </w:trPr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>
            <w:r>
              <w:t>Безвозмездные поступления от других бюджетов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left w:w="57" w:type="dxa"/>
              <w:right w:w="57" w:type="dxa"/>
            </w:tcMar>
            <w:vAlign w:val="center"/>
          </w:tcPr>
          <w:p>
            <w:pPr>
              <w:jc w:val="right"/>
            </w:pPr>
            <w:r>
              <w:t>3 161 897,04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left w:w="57" w:type="dxa"/>
              <w:right w:w="57" w:type="dxa"/>
            </w:tcMar>
            <w:vAlign w:val="center"/>
          </w:tcPr>
          <w:p>
            <w:pPr>
              <w:jc w:val="right"/>
            </w:pPr>
            <w:r>
              <w:t>1 848 398,50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left w:w="57" w:type="dxa"/>
              <w:right w:w="57" w:type="dxa"/>
            </w:tcMar>
            <w:vAlign w:val="center"/>
          </w:tcPr>
          <w:p>
            <w:pPr>
              <w:jc w:val="right"/>
            </w:pPr>
            <w:r>
              <w:t>3 425 773,26</w:t>
            </w:r>
          </w:p>
        </w:tc>
        <w:tc>
          <w:tcPr>
            <w:tcW w:w="1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left w:w="57" w:type="dxa"/>
              <w:right w:w="57" w:type="dxa"/>
            </w:tcMar>
            <w:vAlign w:val="center"/>
          </w:tcPr>
          <w:p>
            <w:pPr>
              <w:jc w:val="right"/>
            </w:pPr>
            <w:r>
              <w:t>3 413 480,09</w:t>
            </w:r>
          </w:p>
        </w:tc>
        <w:tc>
          <w:tcPr>
            <w:tcW w:w="115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tcMar>
              <w:left w:w="57" w:type="dxa"/>
              <w:right w:w="57" w:type="dxa"/>
            </w:tcMar>
            <w:vAlign w:val="center"/>
          </w:tcPr>
          <w:p>
            <w:pPr>
              <w:jc w:val="right"/>
            </w:pPr>
            <w:r>
              <w:t>-12 293,17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tcMar>
              <w:left w:w="57" w:type="dxa"/>
              <w:right w:w="57" w:type="dxa"/>
            </w:tcMar>
            <w:vAlign w:val="center"/>
          </w:tcPr>
          <w:p>
            <w:pPr>
              <w:jc w:val="right"/>
            </w:pPr>
            <w:r>
              <w:t>99,6</w:t>
            </w:r>
          </w:p>
        </w:tc>
      </w:tr>
      <w:tr>
        <w:trPr>
          <w:trHeight w:val="340"/>
        </w:trPr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>
            <w:r>
              <w:t>1. Дотации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left w:w="57" w:type="dxa"/>
              <w:right w:w="57" w:type="dxa"/>
            </w:tcMar>
            <w:vAlign w:val="center"/>
          </w:tcPr>
          <w:p>
            <w:pPr>
              <w:jc w:val="right"/>
            </w:pPr>
            <w:r>
              <w:t>1 242 553,30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left w:w="57" w:type="dxa"/>
              <w:right w:w="57" w:type="dxa"/>
            </w:tcMar>
            <w:vAlign w:val="center"/>
          </w:tcPr>
          <w:p>
            <w:pPr>
              <w:jc w:val="right"/>
            </w:pPr>
            <w:r>
              <w:t>1 218 718,80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left w:w="57" w:type="dxa"/>
              <w:right w:w="57" w:type="dxa"/>
            </w:tcMar>
            <w:vAlign w:val="center"/>
          </w:tcPr>
          <w:p>
            <w:pPr>
              <w:jc w:val="right"/>
            </w:pPr>
            <w:r>
              <w:t>1 226 980,05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left w:w="57" w:type="dxa"/>
              <w:right w:w="57" w:type="dxa"/>
            </w:tcMar>
            <w:vAlign w:val="center"/>
          </w:tcPr>
          <w:p>
            <w:pPr>
              <w:jc w:val="right"/>
            </w:pPr>
            <w:r>
              <w:t>1 226 980,05</w:t>
            </w:r>
          </w:p>
        </w:tc>
        <w:tc>
          <w:tcPr>
            <w:tcW w:w="1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57" w:type="dxa"/>
              <w:right w:w="57" w:type="dxa"/>
            </w:tcMar>
            <w:vAlign w:val="center"/>
          </w:tcPr>
          <w:p>
            <w:pPr>
              <w:jc w:val="right"/>
            </w:pPr>
            <w:r>
              <w:t>0,00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tcMar>
              <w:left w:w="57" w:type="dxa"/>
              <w:right w:w="57" w:type="dxa"/>
            </w:tcMar>
            <w:vAlign w:val="center"/>
          </w:tcPr>
          <w:p>
            <w:pPr>
              <w:jc w:val="right"/>
            </w:pPr>
            <w:r>
              <w:t>100,0</w:t>
            </w:r>
          </w:p>
        </w:tc>
      </w:tr>
      <w:tr>
        <w:trPr>
          <w:trHeight w:val="340"/>
        </w:trPr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>
            <w:r>
              <w:t>2. Субсидии, из них: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left w:w="57" w:type="dxa"/>
              <w:right w:w="57" w:type="dxa"/>
            </w:tcMar>
            <w:vAlign w:val="center"/>
          </w:tcPr>
          <w:p>
            <w:pPr>
              <w:jc w:val="right"/>
            </w:pPr>
            <w:r>
              <w:t>423 460,00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left w:w="57" w:type="dxa"/>
              <w:right w:w="57" w:type="dxa"/>
            </w:tcMar>
            <w:vAlign w:val="center"/>
          </w:tcPr>
          <w:p>
            <w:pPr>
              <w:jc w:val="right"/>
            </w:pPr>
            <w:r>
              <w:t>49 689,90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left w:w="57" w:type="dxa"/>
              <w:right w:w="57" w:type="dxa"/>
            </w:tcMar>
            <w:vAlign w:val="center"/>
          </w:tcPr>
          <w:p>
            <w:pPr>
              <w:jc w:val="right"/>
            </w:pPr>
            <w:r>
              <w:t>604 066,92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left w:w="57" w:type="dxa"/>
              <w:right w:w="57" w:type="dxa"/>
            </w:tcMar>
            <w:vAlign w:val="center"/>
          </w:tcPr>
          <w:p>
            <w:pPr>
              <w:jc w:val="right"/>
            </w:pPr>
            <w:r>
              <w:t>597 773,01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57" w:type="dxa"/>
              <w:right w:w="57" w:type="dxa"/>
            </w:tcMar>
            <w:vAlign w:val="center"/>
          </w:tcPr>
          <w:p>
            <w:pPr>
              <w:jc w:val="right"/>
            </w:pPr>
            <w:r>
              <w:t>-6 293,91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57" w:type="dxa"/>
              <w:right w:w="57" w:type="dxa"/>
            </w:tcMar>
            <w:vAlign w:val="center"/>
          </w:tcPr>
          <w:p>
            <w:pPr>
              <w:jc w:val="right"/>
            </w:pPr>
            <w:r>
              <w:t>99,0</w:t>
            </w:r>
          </w:p>
        </w:tc>
      </w:tr>
      <w:tr>
        <w:trPr>
          <w:trHeight w:val="340"/>
        </w:trPr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>
            <w:r>
              <w:t>3. Субвенции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left w:w="57" w:type="dxa"/>
              <w:right w:w="57" w:type="dxa"/>
            </w:tcMar>
            <w:vAlign w:val="center"/>
          </w:tcPr>
          <w:p>
            <w:pPr>
              <w:jc w:val="right"/>
            </w:pPr>
            <w:r>
              <w:t>1 267 531,73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left w:w="57" w:type="dxa"/>
              <w:right w:w="57" w:type="dxa"/>
            </w:tcMar>
            <w:vAlign w:val="center"/>
          </w:tcPr>
          <w:p>
            <w:pPr>
              <w:jc w:val="right"/>
            </w:pPr>
            <w:r>
              <w:t>577 031,80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left w:w="57" w:type="dxa"/>
              <w:right w:w="57" w:type="dxa"/>
            </w:tcMar>
            <w:vAlign w:val="center"/>
          </w:tcPr>
          <w:p>
            <w:pPr>
              <w:jc w:val="right"/>
            </w:pPr>
            <w:r>
              <w:t>1 306 175,08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left w:w="57" w:type="dxa"/>
              <w:right w:w="57" w:type="dxa"/>
            </w:tcMar>
            <w:vAlign w:val="center"/>
          </w:tcPr>
          <w:p>
            <w:pPr>
              <w:jc w:val="right"/>
            </w:pPr>
            <w:r>
              <w:t>1 300 178,67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57" w:type="dxa"/>
              <w:right w:w="57" w:type="dxa"/>
            </w:tcMar>
            <w:vAlign w:val="center"/>
          </w:tcPr>
          <w:p>
            <w:pPr>
              <w:jc w:val="right"/>
            </w:pPr>
            <w:r>
              <w:t>-5 996,41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tcMar>
              <w:left w:w="57" w:type="dxa"/>
              <w:right w:w="57" w:type="dxa"/>
            </w:tcMar>
            <w:vAlign w:val="center"/>
          </w:tcPr>
          <w:p>
            <w:pPr>
              <w:jc w:val="right"/>
            </w:pPr>
            <w:r>
              <w:t>99,5</w:t>
            </w:r>
          </w:p>
        </w:tc>
      </w:tr>
      <w:tr>
        <w:trPr>
          <w:trHeight w:val="340"/>
        </w:trPr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>
            <w:r>
              <w:t>4. Иные МБТ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left w:w="57" w:type="dxa"/>
              <w:right w:w="57" w:type="dxa"/>
            </w:tcMar>
            <w:vAlign w:val="center"/>
          </w:tcPr>
          <w:p>
            <w:pPr>
              <w:jc w:val="right"/>
            </w:pPr>
            <w:r>
              <w:t>228 352,01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left w:w="57" w:type="dxa"/>
              <w:right w:w="57" w:type="dxa"/>
            </w:tcMar>
            <w:vAlign w:val="center"/>
          </w:tcPr>
          <w:p>
            <w:pPr>
              <w:jc w:val="right"/>
            </w:pPr>
            <w:r>
              <w:t>2 958,00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left w:w="57" w:type="dxa"/>
              <w:right w:w="57" w:type="dxa"/>
            </w:tcMar>
            <w:vAlign w:val="center"/>
          </w:tcPr>
          <w:p>
            <w:pPr>
              <w:jc w:val="right"/>
            </w:pPr>
            <w:r>
              <w:t>288 551,21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left w:w="57" w:type="dxa"/>
              <w:right w:w="57" w:type="dxa"/>
            </w:tcMar>
            <w:vAlign w:val="center"/>
          </w:tcPr>
          <w:p>
            <w:pPr>
              <w:jc w:val="right"/>
            </w:pPr>
            <w:r>
              <w:t>288 548,36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57" w:type="dxa"/>
              <w:right w:w="57" w:type="dxa"/>
            </w:tcMar>
            <w:vAlign w:val="center"/>
          </w:tcPr>
          <w:p>
            <w:pPr>
              <w:jc w:val="right"/>
            </w:pPr>
            <w:r>
              <w:t>-2,85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57" w:type="dxa"/>
              <w:right w:w="57" w:type="dxa"/>
            </w:tcMar>
            <w:vAlign w:val="center"/>
          </w:tcPr>
          <w:p>
            <w:pPr>
              <w:jc w:val="right"/>
            </w:pPr>
            <w:r>
              <w:t>100,0</w:t>
            </w:r>
          </w:p>
        </w:tc>
      </w:tr>
    </w:tbl>
    <w:p>
      <w:pPr>
        <w:pStyle w:val="a5"/>
        <w:shd w:val="clear" w:color="auto" w:fill="FFFFFF" w:themeFill="background1"/>
        <w:spacing w:after="0"/>
        <w:jc w:val="center"/>
        <w:rPr>
          <w:b/>
          <w:sz w:val="24"/>
          <w:szCs w:val="24"/>
          <w:highlight w:val="yellow"/>
        </w:rPr>
      </w:pPr>
    </w:p>
    <w:p>
      <w:pPr>
        <w:pStyle w:val="a5"/>
        <w:shd w:val="clear" w:color="auto" w:fill="FFFFFF" w:themeFill="background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3.3.2. Прочие безвозмездные поступления в бюджеты городских округов</w:t>
      </w:r>
    </w:p>
    <w:p>
      <w:pPr>
        <w:pStyle w:val="a5"/>
        <w:shd w:val="clear" w:color="auto" w:fill="FFFFFF" w:themeFill="background1"/>
        <w:spacing w:before="120" w:after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Прогноз поступлений по статье составлял 80,06 тыс.руб. и исполнен на 100,0%. В бюджет ЗАТО Северск поступили средства на реализацию отобранного на конкурсной основе проекта, предложенного гражданами внегородских территорий ЗАТО Северск, по обустройству объекта благоустройства «Мемориал славы воинам Великой Отечественной войны», находящийся в пос.Самусь.</w:t>
      </w:r>
    </w:p>
    <w:p>
      <w:pPr>
        <w:pStyle w:val="a5"/>
        <w:shd w:val="clear" w:color="auto" w:fill="FFFFFF" w:themeFill="background1"/>
        <w:spacing w:after="0"/>
        <w:jc w:val="both"/>
        <w:rPr>
          <w:sz w:val="24"/>
          <w:szCs w:val="24"/>
          <w:highlight w:val="yellow"/>
        </w:rPr>
      </w:pPr>
    </w:p>
    <w:p>
      <w:pPr>
        <w:pStyle w:val="a5"/>
        <w:shd w:val="clear" w:color="auto" w:fill="FFFFFF" w:themeFill="background1"/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3.3.3. Доходы бюджетов городских округов от возврата организациями </w:t>
      </w:r>
    </w:p>
    <w:p>
      <w:pPr>
        <w:pStyle w:val="a5"/>
        <w:shd w:val="clear" w:color="auto" w:fill="FFFFFF" w:themeFill="background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остатков субсидий прошлых лет </w:t>
      </w:r>
    </w:p>
    <w:p>
      <w:pPr>
        <w:pStyle w:val="a5"/>
        <w:shd w:val="clear" w:color="auto" w:fill="FFFFFF" w:themeFill="background1"/>
        <w:spacing w:after="0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Прогноз поступлений по статье составлял 205,24 тыс.руб. и исполнен на 100,0%. В бюджет ЗАТО Северск поступили доходы от возврата бюджетными, автономными учреждениями и иными организациями остатков субсидий прошлых лет. </w:t>
      </w:r>
    </w:p>
    <w:p>
      <w:pPr>
        <w:pStyle w:val="a5"/>
        <w:shd w:val="clear" w:color="auto" w:fill="FFFFFF" w:themeFill="background1"/>
        <w:spacing w:after="0"/>
        <w:ind w:firstLine="720"/>
        <w:jc w:val="both"/>
        <w:rPr>
          <w:sz w:val="24"/>
          <w:szCs w:val="24"/>
          <w:highlight w:val="yellow"/>
        </w:rPr>
      </w:pPr>
    </w:p>
    <w:p>
      <w:pPr>
        <w:shd w:val="clear" w:color="auto" w:fill="FFFFFF" w:themeFill="background1"/>
        <w:spacing w:after="120"/>
        <w:ind w:right="23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3.3.4. Возврат остатков субсидий, субвенций и иных межбюджетных трансфертов, имеющих целевое назначение, прошлых лет</w:t>
      </w:r>
    </w:p>
    <w:p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соответствии со статьей 242 Бюджетного кодекса Российской Федерации, Порядком завершения операций по исполнению областного бюджета в текущем финансовом году, утвержденным приказом Департамента финансов Томской области от 24.05.2017 № 32, в 2019 году в бюджет Томской области возвращены остатки неиспользованных в 2018 году безвозмездных поступлений в сумме 10 656,64 тыс.руб. </w:t>
      </w:r>
    </w:p>
    <w:p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После рассмотрения и подтверждения главными администраторами Томской области заявленной главными распорядителями бюджетных средств ЗАТО Северск потребности в использовании остатков средств областного бюджета в течение года были возвращены межбюджетные трансферты в сумме 2 304,40 тыс.руб. </w:t>
      </w:r>
    </w:p>
    <w:p>
      <w:pPr>
        <w:shd w:val="clear" w:color="auto" w:fill="FFFFFF" w:themeFill="background1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Сальдированный результат возврата межбюджетных трансфертов в 2019 году составил 8 352,24 тыс.руб.</w:t>
      </w:r>
    </w:p>
    <w:p>
      <w:pPr>
        <w:ind w:right="45"/>
        <w:jc w:val="both"/>
        <w:rPr>
          <w:sz w:val="24"/>
          <w:szCs w:val="24"/>
          <w:highlight w:val="yellow"/>
        </w:rPr>
      </w:pPr>
    </w:p>
    <w:p>
      <w:pPr>
        <w:jc w:val="center"/>
        <w:rPr>
          <w:b/>
          <w:sz w:val="24"/>
          <w:szCs w:val="24"/>
        </w:rPr>
      </w:pPr>
    </w:p>
    <w:p>
      <w:pPr>
        <w:jc w:val="center"/>
        <w:rPr>
          <w:b/>
          <w:sz w:val="24"/>
          <w:szCs w:val="24"/>
        </w:rPr>
      </w:pPr>
    </w:p>
    <w:p>
      <w:pPr>
        <w:jc w:val="center"/>
        <w:rPr>
          <w:b/>
          <w:sz w:val="24"/>
          <w:szCs w:val="24"/>
        </w:rPr>
      </w:pPr>
    </w:p>
    <w:p>
      <w:pPr>
        <w:jc w:val="center"/>
        <w:rPr>
          <w:b/>
          <w:sz w:val="24"/>
          <w:szCs w:val="24"/>
        </w:rPr>
      </w:pPr>
    </w:p>
    <w:p>
      <w:pPr>
        <w:jc w:val="center"/>
        <w:rPr>
          <w:b/>
          <w:sz w:val="24"/>
          <w:szCs w:val="24"/>
        </w:rPr>
      </w:pPr>
    </w:p>
    <w:p>
      <w:pPr>
        <w:jc w:val="center"/>
        <w:rPr>
          <w:b/>
          <w:sz w:val="24"/>
          <w:szCs w:val="24"/>
        </w:rPr>
      </w:pPr>
    </w:p>
    <w:p>
      <w:pPr>
        <w:jc w:val="center"/>
        <w:rPr>
          <w:b/>
          <w:sz w:val="24"/>
          <w:szCs w:val="24"/>
        </w:rPr>
      </w:pPr>
    </w:p>
    <w:p>
      <w:pPr>
        <w:jc w:val="center"/>
        <w:rPr>
          <w:b/>
          <w:sz w:val="24"/>
          <w:szCs w:val="24"/>
        </w:rPr>
      </w:pPr>
    </w:p>
    <w:p>
      <w:pPr>
        <w:jc w:val="center"/>
        <w:rPr>
          <w:b/>
          <w:sz w:val="24"/>
          <w:szCs w:val="24"/>
        </w:rPr>
      </w:pPr>
    </w:p>
    <w:p>
      <w:pPr>
        <w:jc w:val="center"/>
        <w:rPr>
          <w:b/>
          <w:sz w:val="24"/>
          <w:szCs w:val="24"/>
        </w:rPr>
      </w:pP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lastRenderedPageBreak/>
        <w:t>IV</w:t>
      </w:r>
      <w:r>
        <w:rPr>
          <w:b/>
          <w:sz w:val="24"/>
          <w:szCs w:val="24"/>
        </w:rPr>
        <w:t>. РАСХОДЫ</w:t>
      </w:r>
    </w:p>
    <w:p>
      <w:pPr>
        <w:jc w:val="center"/>
        <w:rPr>
          <w:b/>
          <w:sz w:val="16"/>
          <w:szCs w:val="16"/>
        </w:rPr>
      </w:pPr>
    </w:p>
    <w:p>
      <w:pPr>
        <w:pStyle w:val="31"/>
        <w:ind w:right="45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4.1. Исполнение расходной части бюджета по разделам </w:t>
      </w:r>
    </w:p>
    <w:p>
      <w:pPr>
        <w:pStyle w:val="31"/>
        <w:spacing w:after="120"/>
        <w:ind w:right="45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и статьям расходов </w:t>
      </w:r>
      <w:proofErr w:type="gramStart"/>
      <w:r>
        <w:rPr>
          <w:b/>
          <w:sz w:val="24"/>
          <w:szCs w:val="24"/>
        </w:rPr>
        <w:t>бюджета</w:t>
      </w:r>
      <w:proofErr w:type="gramEnd"/>
      <w:r>
        <w:rPr>
          <w:b/>
          <w:sz w:val="24"/>
          <w:szCs w:val="24"/>
        </w:rPr>
        <w:t xml:space="preserve"> ЗАТО Северск за 2019 год</w:t>
      </w:r>
    </w:p>
    <w:p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sz w:val="24"/>
          <w:szCs w:val="24"/>
        </w:rPr>
        <w:t>Кассовое исполнение расходной части бюджета ЗАТО Северск за 2019 год составило 99,2%. При плане 4 643 398,93 тыс.руб. фактическое исполнение составило 4 604 221,40 тыс.руб.</w:t>
      </w:r>
    </w:p>
    <w:p>
      <w:pPr>
        <w:pStyle w:val="31"/>
        <w:spacing w:before="120" w:after="60"/>
        <w:ind w:right="57" w:firstLine="709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Таблица 41. Анализ исполнения расходов бюджета ЗАТО Северск по разделам бюджетной классификации за 2019 год</w:t>
      </w:r>
    </w:p>
    <w:tbl>
      <w:tblPr>
        <w:tblW w:w="977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552"/>
        <w:gridCol w:w="1269"/>
        <w:gridCol w:w="1282"/>
        <w:gridCol w:w="1282"/>
        <w:gridCol w:w="1270"/>
        <w:gridCol w:w="844"/>
        <w:gridCol w:w="1276"/>
      </w:tblGrid>
      <w:tr>
        <w:trPr>
          <w:cantSplit/>
          <w:trHeight w:val="1408"/>
        </w:trPr>
        <w:tc>
          <w:tcPr>
            <w:tcW w:w="25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pStyle w:val="31"/>
              <w:ind w:right="55"/>
              <w:jc w:val="center"/>
              <w:rPr>
                <w:sz w:val="20"/>
              </w:rPr>
            </w:pPr>
            <w:r>
              <w:rPr>
                <w:sz w:val="20"/>
              </w:rPr>
              <w:t>Наименование раздела</w:t>
            </w:r>
          </w:p>
        </w:tc>
        <w:tc>
          <w:tcPr>
            <w:tcW w:w="12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31"/>
              <w:ind w:left="-108" w:right="-103"/>
              <w:jc w:val="center"/>
              <w:rPr>
                <w:sz w:val="20"/>
              </w:rPr>
            </w:pPr>
          </w:p>
          <w:p>
            <w:pPr>
              <w:pStyle w:val="31"/>
              <w:ind w:left="-108" w:right="-103"/>
              <w:jc w:val="center"/>
              <w:rPr>
                <w:sz w:val="20"/>
              </w:rPr>
            </w:pPr>
          </w:p>
          <w:p>
            <w:pPr>
              <w:pStyle w:val="31"/>
              <w:ind w:left="-108" w:right="-103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Исполнено </w:t>
            </w:r>
          </w:p>
          <w:p>
            <w:pPr>
              <w:pStyle w:val="31"/>
              <w:ind w:left="-108" w:right="-103"/>
              <w:jc w:val="center"/>
              <w:rPr>
                <w:sz w:val="20"/>
              </w:rPr>
            </w:pPr>
            <w:r>
              <w:rPr>
                <w:sz w:val="20"/>
              </w:rPr>
              <w:t>за 2018 год, тыс</w:t>
            </w:r>
            <w:proofErr w:type="gramStart"/>
            <w:r>
              <w:rPr>
                <w:sz w:val="20"/>
              </w:rPr>
              <w:t>.р</w:t>
            </w:r>
            <w:proofErr w:type="gramEnd"/>
            <w:r>
              <w:rPr>
                <w:sz w:val="20"/>
              </w:rPr>
              <w:t>уб.</w:t>
            </w:r>
          </w:p>
        </w:tc>
        <w:tc>
          <w:tcPr>
            <w:tcW w:w="12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31"/>
              <w:ind w:left="-103" w:right="-10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Первоначаль-ный</w:t>
            </w:r>
            <w:proofErr w:type="spellEnd"/>
            <w:r>
              <w:rPr>
                <w:sz w:val="20"/>
              </w:rPr>
              <w:t xml:space="preserve"> план на 2019 год, тыс</w:t>
            </w:r>
            <w:proofErr w:type="gramStart"/>
            <w:r>
              <w:rPr>
                <w:sz w:val="20"/>
              </w:rPr>
              <w:t>.р</w:t>
            </w:r>
            <w:proofErr w:type="gramEnd"/>
            <w:r>
              <w:rPr>
                <w:sz w:val="20"/>
              </w:rPr>
              <w:t>уб.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31"/>
              <w:ind w:left="-103" w:right="-103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Уточненный план </w:t>
            </w:r>
          </w:p>
          <w:p>
            <w:pPr>
              <w:pStyle w:val="31"/>
              <w:ind w:left="-103" w:right="-103"/>
              <w:jc w:val="center"/>
              <w:rPr>
                <w:sz w:val="20"/>
              </w:rPr>
            </w:pPr>
            <w:r>
              <w:rPr>
                <w:sz w:val="20"/>
              </w:rPr>
              <w:t>2019 года, тыс.руб.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31"/>
              <w:ind w:left="-108" w:right="-103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Исполнено </w:t>
            </w:r>
          </w:p>
          <w:p>
            <w:pPr>
              <w:pStyle w:val="31"/>
              <w:ind w:left="-108" w:right="-103"/>
              <w:jc w:val="center"/>
              <w:rPr>
                <w:sz w:val="20"/>
              </w:rPr>
            </w:pPr>
            <w:r>
              <w:rPr>
                <w:sz w:val="20"/>
              </w:rPr>
              <w:t>за 2019 год, тыс</w:t>
            </w:r>
            <w:proofErr w:type="gramStart"/>
            <w:r>
              <w:rPr>
                <w:sz w:val="20"/>
              </w:rPr>
              <w:t>.р</w:t>
            </w:r>
            <w:proofErr w:type="gramEnd"/>
            <w:r>
              <w:rPr>
                <w:sz w:val="20"/>
              </w:rPr>
              <w:t>уб.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>
            <w:pPr>
              <w:pStyle w:val="31"/>
              <w:ind w:left="-103" w:right="-103"/>
              <w:jc w:val="center"/>
              <w:rPr>
                <w:sz w:val="20"/>
                <w:lang w:val="en-US"/>
              </w:rPr>
            </w:pPr>
            <w:r>
              <w:rPr>
                <w:sz w:val="20"/>
              </w:rPr>
              <w:t xml:space="preserve">% исполнения </w:t>
            </w:r>
          </w:p>
          <w:p>
            <w:pPr>
              <w:pStyle w:val="31"/>
              <w:ind w:left="-103" w:right="-103"/>
              <w:jc w:val="center"/>
              <w:rPr>
                <w:sz w:val="20"/>
              </w:rPr>
            </w:pPr>
            <w:r>
              <w:rPr>
                <w:sz w:val="20"/>
              </w:rPr>
              <w:t>к уточненному плану года</w:t>
            </w:r>
          </w:p>
          <w:p>
            <w:pPr>
              <w:pStyle w:val="31"/>
              <w:ind w:left="-103" w:right="-103"/>
              <w:rPr>
                <w:sz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pStyle w:val="31"/>
              <w:ind w:left="-108" w:right="-103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Отклонение </w:t>
            </w:r>
          </w:p>
          <w:p>
            <w:pPr>
              <w:pStyle w:val="31"/>
              <w:ind w:left="-108" w:right="-103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2019 г. </w:t>
            </w:r>
          </w:p>
          <w:p>
            <w:pPr>
              <w:pStyle w:val="31"/>
              <w:ind w:left="-108" w:right="-103"/>
              <w:jc w:val="center"/>
              <w:rPr>
                <w:sz w:val="20"/>
              </w:rPr>
            </w:pPr>
            <w:r>
              <w:rPr>
                <w:sz w:val="20"/>
              </w:rPr>
              <w:t>от 2018 г., тыс</w:t>
            </w:r>
            <w:proofErr w:type="gramStart"/>
            <w:r>
              <w:rPr>
                <w:sz w:val="20"/>
              </w:rPr>
              <w:t>.р</w:t>
            </w:r>
            <w:proofErr w:type="gramEnd"/>
            <w:r>
              <w:rPr>
                <w:sz w:val="20"/>
              </w:rPr>
              <w:t>уб.</w:t>
            </w:r>
          </w:p>
        </w:tc>
      </w:tr>
      <w:tr>
        <w:trPr>
          <w:cantSplit/>
          <w:trHeight w:val="175"/>
        </w:trPr>
        <w:tc>
          <w:tcPr>
            <w:tcW w:w="25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pStyle w:val="31"/>
              <w:ind w:right="55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2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31"/>
              <w:ind w:left="-108" w:right="-10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2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31"/>
              <w:ind w:left="-103" w:right="-10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31"/>
              <w:ind w:left="-103" w:right="-10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31"/>
              <w:ind w:left="-108" w:right="-10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31"/>
              <w:ind w:left="-103" w:right="-10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pStyle w:val="31"/>
              <w:ind w:left="-108" w:right="-10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</w:tr>
      <w:tr>
        <w:trPr>
          <w:trHeight w:val="2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31"/>
              <w:ind w:right="-108"/>
              <w:jc w:val="left"/>
              <w:rPr>
                <w:sz w:val="20"/>
              </w:rPr>
            </w:pPr>
            <w:r>
              <w:rPr>
                <w:sz w:val="20"/>
              </w:rPr>
              <w:t>Общегосударственные вопросы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right"/>
              <w:rPr>
                <w:sz w:val="24"/>
                <w:szCs w:val="24"/>
              </w:rPr>
            </w:pPr>
            <w:r>
              <w:t>323 236,71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t>325 160,17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right"/>
              <w:rPr>
                <w:sz w:val="24"/>
                <w:szCs w:val="24"/>
              </w:rPr>
            </w:pPr>
            <w:r>
              <w:t>342 977,75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right"/>
              <w:rPr>
                <w:sz w:val="24"/>
                <w:szCs w:val="24"/>
              </w:rPr>
            </w:pPr>
            <w:r>
              <w:t>338 806,64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t>98,8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right"/>
              <w:rPr>
                <w:sz w:val="24"/>
                <w:szCs w:val="24"/>
              </w:rPr>
            </w:pPr>
            <w:r>
              <w:t>15 569,93</w:t>
            </w:r>
          </w:p>
        </w:tc>
      </w:tr>
      <w:tr>
        <w:trPr>
          <w:trHeight w:val="2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31"/>
              <w:ind w:right="-108"/>
              <w:jc w:val="left"/>
              <w:rPr>
                <w:sz w:val="20"/>
              </w:rPr>
            </w:pPr>
            <w:r>
              <w:rPr>
                <w:sz w:val="20"/>
              </w:rPr>
              <w:t>Национальная оборона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right"/>
              <w:rPr>
                <w:sz w:val="24"/>
                <w:szCs w:val="24"/>
              </w:rPr>
            </w:pPr>
            <w:r>
              <w:t>118,20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t>130,86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right"/>
              <w:rPr>
                <w:sz w:val="24"/>
                <w:szCs w:val="24"/>
              </w:rPr>
            </w:pPr>
            <w:r>
              <w:t>79,11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right"/>
              <w:rPr>
                <w:sz w:val="24"/>
                <w:szCs w:val="24"/>
              </w:rPr>
            </w:pPr>
            <w:r>
              <w:t>79,11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t>100,0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right"/>
              <w:rPr>
                <w:sz w:val="24"/>
                <w:szCs w:val="24"/>
              </w:rPr>
            </w:pPr>
            <w:r>
              <w:t>-39,09</w:t>
            </w:r>
          </w:p>
        </w:tc>
      </w:tr>
      <w:tr>
        <w:trPr>
          <w:trHeight w:val="2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31"/>
              <w:ind w:right="-108"/>
              <w:jc w:val="left"/>
              <w:rPr>
                <w:sz w:val="20"/>
              </w:rPr>
            </w:pPr>
            <w:r>
              <w:rPr>
                <w:sz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right"/>
              <w:rPr>
                <w:sz w:val="24"/>
                <w:szCs w:val="24"/>
              </w:rPr>
            </w:pPr>
            <w:r>
              <w:t>25 560,99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t>24 214,51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right"/>
              <w:rPr>
                <w:sz w:val="24"/>
                <w:szCs w:val="24"/>
              </w:rPr>
            </w:pPr>
            <w:r>
              <w:t>25 561,72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right"/>
              <w:rPr>
                <w:sz w:val="24"/>
                <w:szCs w:val="24"/>
              </w:rPr>
            </w:pPr>
            <w:r>
              <w:t>25 439,20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t>99,5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right"/>
              <w:rPr>
                <w:sz w:val="24"/>
                <w:szCs w:val="24"/>
              </w:rPr>
            </w:pPr>
            <w:r>
              <w:t>-121,79</w:t>
            </w:r>
          </w:p>
        </w:tc>
      </w:tr>
      <w:tr>
        <w:trPr>
          <w:trHeight w:val="2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31"/>
              <w:tabs>
                <w:tab w:val="left" w:pos="2520"/>
              </w:tabs>
              <w:ind w:right="-76"/>
              <w:jc w:val="left"/>
              <w:rPr>
                <w:sz w:val="20"/>
              </w:rPr>
            </w:pPr>
            <w:r>
              <w:rPr>
                <w:sz w:val="20"/>
              </w:rPr>
              <w:t>Национальная экономика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jc w:val="right"/>
              <w:rPr>
                <w:sz w:val="24"/>
                <w:szCs w:val="24"/>
              </w:rPr>
            </w:pPr>
            <w:r>
              <w:t>467 790,63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t>391 105,65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jc w:val="right"/>
              <w:rPr>
                <w:sz w:val="24"/>
                <w:szCs w:val="24"/>
              </w:rPr>
            </w:pPr>
            <w:r>
              <w:t>557 582,11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jc w:val="right"/>
              <w:rPr>
                <w:sz w:val="24"/>
                <w:szCs w:val="24"/>
              </w:rPr>
            </w:pPr>
            <w:r>
              <w:t>546 516,06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t>98,0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jc w:val="right"/>
              <w:rPr>
                <w:sz w:val="24"/>
                <w:szCs w:val="24"/>
              </w:rPr>
            </w:pPr>
            <w:r>
              <w:t>78 725,43</w:t>
            </w:r>
          </w:p>
        </w:tc>
      </w:tr>
      <w:tr>
        <w:trPr>
          <w:trHeight w:val="2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31"/>
              <w:ind w:right="55"/>
              <w:jc w:val="left"/>
              <w:rPr>
                <w:sz w:val="20"/>
              </w:rPr>
            </w:pPr>
            <w:r>
              <w:rPr>
                <w:sz w:val="20"/>
              </w:rPr>
              <w:t>ЖКХ</w:t>
            </w:r>
          </w:p>
        </w:tc>
        <w:tc>
          <w:tcPr>
            <w:tcW w:w="12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right"/>
              <w:rPr>
                <w:bCs/>
              </w:rPr>
            </w:pPr>
            <w:r>
              <w:rPr>
                <w:bCs/>
              </w:rPr>
              <w:t>256 836,53</w:t>
            </w:r>
          </w:p>
        </w:tc>
        <w:tc>
          <w:tcPr>
            <w:tcW w:w="12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>204 120,42</w:t>
            </w:r>
          </w:p>
        </w:tc>
        <w:tc>
          <w:tcPr>
            <w:tcW w:w="12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right"/>
              <w:rPr>
                <w:bCs/>
              </w:rPr>
            </w:pPr>
            <w:r>
              <w:rPr>
                <w:bCs/>
              </w:rPr>
              <w:t>378 695,20</w:t>
            </w:r>
          </w:p>
        </w:tc>
        <w:tc>
          <w:tcPr>
            <w:tcW w:w="12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right"/>
              <w:rPr>
                <w:bCs/>
              </w:rPr>
            </w:pPr>
            <w:r>
              <w:rPr>
                <w:bCs/>
              </w:rPr>
              <w:t>372 205,23</w:t>
            </w:r>
          </w:p>
        </w:tc>
        <w:tc>
          <w:tcPr>
            <w:tcW w:w="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>98,3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right"/>
              <w:rPr>
                <w:bCs/>
              </w:rPr>
            </w:pPr>
            <w:r>
              <w:rPr>
                <w:bCs/>
              </w:rPr>
              <w:t>115 368,70</w:t>
            </w:r>
          </w:p>
        </w:tc>
      </w:tr>
      <w:tr>
        <w:trPr>
          <w:trHeight w:val="2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31"/>
              <w:ind w:right="-108"/>
              <w:jc w:val="left"/>
              <w:rPr>
                <w:sz w:val="20"/>
              </w:rPr>
            </w:pPr>
            <w:r>
              <w:rPr>
                <w:sz w:val="20"/>
              </w:rPr>
              <w:t>Охрана окружающей среды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right"/>
              <w:rPr>
                <w:bCs/>
              </w:rPr>
            </w:pPr>
            <w:r>
              <w:rPr>
                <w:bCs/>
              </w:rPr>
              <w:t>231,57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>300,10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right"/>
              <w:rPr>
                <w:bCs/>
              </w:rPr>
            </w:pPr>
            <w:r>
              <w:rPr>
                <w:bCs/>
              </w:rPr>
              <w:t>224,24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right"/>
              <w:rPr>
                <w:bCs/>
              </w:rPr>
            </w:pPr>
            <w:r>
              <w:rPr>
                <w:bCs/>
              </w:rPr>
              <w:t>224,22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>100,0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right"/>
              <w:rPr>
                <w:bCs/>
              </w:rPr>
            </w:pPr>
            <w:r>
              <w:rPr>
                <w:bCs/>
              </w:rPr>
              <w:t>-7,35</w:t>
            </w:r>
          </w:p>
        </w:tc>
      </w:tr>
      <w:tr>
        <w:trPr>
          <w:trHeight w:val="2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31"/>
              <w:ind w:right="55"/>
              <w:jc w:val="left"/>
              <w:rPr>
                <w:sz w:val="20"/>
              </w:rPr>
            </w:pPr>
            <w:r>
              <w:rPr>
                <w:sz w:val="20"/>
              </w:rPr>
              <w:t>Образование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right"/>
              <w:rPr>
                <w:bCs/>
              </w:rPr>
            </w:pPr>
            <w:r>
              <w:rPr>
                <w:bCs/>
              </w:rPr>
              <w:t>2 569 968,60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>1 585 064,90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right"/>
              <w:rPr>
                <w:bCs/>
              </w:rPr>
            </w:pPr>
            <w:r>
              <w:rPr>
                <w:bCs/>
              </w:rPr>
              <w:t>2 588 118,18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right"/>
              <w:rPr>
                <w:bCs/>
              </w:rPr>
            </w:pPr>
            <w:r>
              <w:rPr>
                <w:bCs/>
              </w:rPr>
              <w:t>2 581 759,58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>99,8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right"/>
              <w:rPr>
                <w:bCs/>
              </w:rPr>
            </w:pPr>
            <w:r>
              <w:rPr>
                <w:bCs/>
              </w:rPr>
              <w:t>11 790,98</w:t>
            </w:r>
          </w:p>
        </w:tc>
      </w:tr>
      <w:tr>
        <w:trPr>
          <w:trHeight w:val="2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31"/>
              <w:ind w:right="55"/>
              <w:jc w:val="left"/>
              <w:rPr>
                <w:sz w:val="20"/>
              </w:rPr>
            </w:pPr>
            <w:r>
              <w:rPr>
                <w:sz w:val="20"/>
              </w:rPr>
              <w:t xml:space="preserve">Культура и кинематография 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right"/>
              <w:rPr>
                <w:sz w:val="24"/>
                <w:szCs w:val="24"/>
              </w:rPr>
            </w:pPr>
            <w:r>
              <w:t>348 181,68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t>227 606,68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right"/>
              <w:rPr>
                <w:sz w:val="24"/>
                <w:szCs w:val="24"/>
              </w:rPr>
            </w:pPr>
            <w:r>
              <w:t>456 422,88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right"/>
              <w:rPr>
                <w:sz w:val="24"/>
                <w:szCs w:val="24"/>
              </w:rPr>
            </w:pPr>
            <w:r>
              <w:t>455 708,11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t>99,8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right"/>
              <w:rPr>
                <w:sz w:val="24"/>
                <w:szCs w:val="24"/>
              </w:rPr>
            </w:pPr>
            <w:r>
              <w:t>71 526,43</w:t>
            </w:r>
          </w:p>
        </w:tc>
      </w:tr>
      <w:tr>
        <w:trPr>
          <w:trHeight w:val="2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31"/>
              <w:ind w:right="55"/>
              <w:jc w:val="left"/>
              <w:rPr>
                <w:sz w:val="20"/>
              </w:rPr>
            </w:pPr>
            <w:r>
              <w:rPr>
                <w:sz w:val="20"/>
              </w:rPr>
              <w:t>Социальная политика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right"/>
              <w:rPr>
                <w:sz w:val="24"/>
                <w:szCs w:val="24"/>
              </w:rPr>
            </w:pPr>
            <w:r>
              <w:t>126 839,75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t>87 690,65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right"/>
              <w:rPr>
                <w:sz w:val="24"/>
                <w:szCs w:val="24"/>
              </w:rPr>
            </w:pPr>
            <w:r>
              <w:t>134 316,40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right"/>
              <w:rPr>
                <w:sz w:val="24"/>
                <w:szCs w:val="24"/>
              </w:rPr>
            </w:pPr>
            <w:r>
              <w:t>124 702,23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t>92,8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right"/>
              <w:rPr>
                <w:sz w:val="24"/>
                <w:szCs w:val="24"/>
              </w:rPr>
            </w:pPr>
            <w:r>
              <w:t>- 2 137,52</w:t>
            </w:r>
          </w:p>
        </w:tc>
      </w:tr>
      <w:tr>
        <w:trPr>
          <w:trHeight w:val="2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31"/>
              <w:tabs>
                <w:tab w:val="left" w:pos="1985"/>
              </w:tabs>
              <w:ind w:right="-108"/>
              <w:jc w:val="left"/>
              <w:rPr>
                <w:sz w:val="20"/>
              </w:rPr>
            </w:pPr>
            <w:r>
              <w:rPr>
                <w:sz w:val="20"/>
              </w:rPr>
              <w:t>Физкультура и спорт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right"/>
              <w:rPr>
                <w:sz w:val="24"/>
                <w:szCs w:val="24"/>
              </w:rPr>
            </w:pPr>
            <w:r>
              <w:t>102 995,41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t>96 684,65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right"/>
              <w:rPr>
                <w:sz w:val="24"/>
                <w:szCs w:val="24"/>
              </w:rPr>
            </w:pPr>
            <w:r>
              <w:t>148 338,32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right"/>
              <w:rPr>
                <w:sz w:val="24"/>
                <w:szCs w:val="24"/>
              </w:rPr>
            </w:pPr>
            <w:r>
              <w:t>148 338,20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t>100,0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right"/>
              <w:rPr>
                <w:sz w:val="24"/>
                <w:szCs w:val="24"/>
              </w:rPr>
            </w:pPr>
            <w:r>
              <w:t>45 342,79</w:t>
            </w:r>
          </w:p>
        </w:tc>
      </w:tr>
      <w:tr>
        <w:trPr>
          <w:trHeight w:val="2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31"/>
              <w:ind w:right="-108"/>
              <w:jc w:val="left"/>
              <w:rPr>
                <w:sz w:val="20"/>
              </w:rPr>
            </w:pPr>
            <w:r>
              <w:rPr>
                <w:sz w:val="20"/>
              </w:rPr>
              <w:t>Обслуживание муниципального долга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right"/>
              <w:rPr>
                <w:sz w:val="24"/>
                <w:szCs w:val="24"/>
              </w:rPr>
            </w:pPr>
            <w:r>
              <w:t>8 674,68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t>15 265,73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right"/>
              <w:rPr>
                <w:sz w:val="24"/>
                <w:szCs w:val="24"/>
              </w:rPr>
            </w:pPr>
            <w:r>
              <w:t>11 083,02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right"/>
              <w:rPr>
                <w:sz w:val="24"/>
                <w:szCs w:val="24"/>
              </w:rPr>
            </w:pPr>
            <w:r>
              <w:t>10 442,82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t>94,2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right"/>
              <w:rPr>
                <w:sz w:val="24"/>
                <w:szCs w:val="24"/>
              </w:rPr>
            </w:pPr>
            <w:r>
              <w:t>1 768,14</w:t>
            </w:r>
          </w:p>
        </w:tc>
      </w:tr>
      <w:tr>
        <w:trPr>
          <w:trHeight w:val="253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31"/>
              <w:ind w:right="55"/>
              <w:jc w:val="left"/>
              <w:rPr>
                <w:sz w:val="20"/>
              </w:rPr>
            </w:pPr>
            <w:r>
              <w:rPr>
                <w:sz w:val="20"/>
              </w:rPr>
              <w:t>Итого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</w:rPr>
              <w:t>4 266 434,75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t>2 957 344,32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</w:rPr>
              <w:t>4 643 398,93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</w:rPr>
              <w:t>4 604 221,40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</w:rPr>
              <w:t>99,2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</w:rPr>
              <w:t>337 786,65</w:t>
            </w:r>
          </w:p>
        </w:tc>
      </w:tr>
    </w:tbl>
    <w:p>
      <w:pPr>
        <w:shd w:val="clear" w:color="auto" w:fill="FFFFFF"/>
        <w:spacing w:before="5"/>
        <w:ind w:right="10" w:firstLine="708"/>
        <w:jc w:val="both"/>
        <w:rPr>
          <w:sz w:val="24"/>
          <w:szCs w:val="24"/>
          <w:highlight w:val="yellow"/>
        </w:rPr>
      </w:pPr>
    </w:p>
    <w:p>
      <w:pPr>
        <w:shd w:val="clear" w:color="auto" w:fill="FFFFFF"/>
        <w:spacing w:before="5"/>
        <w:ind w:right="10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Традиционно наибольшая сумма расходов (56%) была направлена на «Образование»: 2 581 759,58 тыс.руб., что на 11 790,98 тыс. руб. или на 0,5% больше, чем в 2018 году. </w:t>
      </w:r>
    </w:p>
    <w:p>
      <w:pPr>
        <w:shd w:val="clear" w:color="auto" w:fill="FFFFFF"/>
        <w:spacing w:before="5"/>
        <w:ind w:right="10"/>
        <w:jc w:val="both"/>
        <w:rPr>
          <w:b/>
          <w:sz w:val="24"/>
          <w:szCs w:val="24"/>
          <w:highlight w:val="yellow"/>
        </w:rPr>
      </w:pPr>
      <w:r>
        <w:rPr>
          <w:b/>
          <w:noProof/>
          <w:sz w:val="24"/>
          <w:szCs w:val="24"/>
        </w:rPr>
        <w:drawing>
          <wp:inline distT="0" distB="0" distL="0" distR="0">
            <wp:extent cx="6038335" cy="2940908"/>
            <wp:effectExtent l="0" t="0" r="0" b="0"/>
            <wp:docPr id="3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>
      <w:pPr>
        <w:shd w:val="clear" w:color="auto" w:fill="FFFFFF"/>
        <w:spacing w:before="5"/>
        <w:ind w:right="10"/>
        <w:jc w:val="both"/>
        <w:rPr>
          <w:b/>
          <w:sz w:val="24"/>
          <w:szCs w:val="24"/>
          <w:highlight w:val="yellow"/>
        </w:rPr>
      </w:pPr>
    </w:p>
    <w:p>
      <w:pPr>
        <w:shd w:val="clear" w:color="auto" w:fill="FFFFFF"/>
        <w:spacing w:before="5"/>
        <w:ind w:right="10"/>
        <w:jc w:val="center"/>
        <w:rPr>
          <w:noProof/>
          <w:sz w:val="24"/>
          <w:szCs w:val="24"/>
        </w:rPr>
      </w:pPr>
      <w:r>
        <w:rPr>
          <w:noProof/>
          <w:sz w:val="24"/>
          <w:szCs w:val="24"/>
        </w:rPr>
        <w:t>Рисунок 9. Структура расходов бюджета ЗАТО Северск в разрезе по разделам за 2019 год</w:t>
      </w:r>
    </w:p>
    <w:p>
      <w:pPr>
        <w:shd w:val="clear" w:color="auto" w:fill="FFFFFF"/>
        <w:spacing w:before="5"/>
        <w:ind w:right="10" w:firstLine="708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В сравнении с 2018 годом в 2019 году увеличены расходы на 337 786,65 тыс.руб. из них по разделам:</w:t>
      </w:r>
    </w:p>
    <w:p>
      <w:pPr>
        <w:pStyle w:val="af8"/>
        <w:numPr>
          <w:ilvl w:val="0"/>
          <w:numId w:val="19"/>
        </w:numPr>
        <w:shd w:val="clear" w:color="auto" w:fill="FFFFFF"/>
        <w:spacing w:before="5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«Обслуживание муниципального долга» на 1 768,14 тыс.руб. или на 20,4% в связи с увеличением муниципального долга на 23 443,96 тыс.руб.;</w:t>
      </w:r>
    </w:p>
    <w:p>
      <w:pPr>
        <w:pStyle w:val="af8"/>
        <w:numPr>
          <w:ilvl w:val="0"/>
          <w:numId w:val="19"/>
        </w:numPr>
        <w:shd w:val="clear" w:color="auto" w:fill="FFFFFF"/>
        <w:spacing w:before="5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«Образование» на 11 790,98 тыс.руб., или на 0,5%;</w:t>
      </w:r>
    </w:p>
    <w:p>
      <w:pPr>
        <w:pStyle w:val="af8"/>
        <w:numPr>
          <w:ilvl w:val="0"/>
          <w:numId w:val="19"/>
        </w:numPr>
        <w:shd w:val="clear" w:color="auto" w:fill="FFFFFF"/>
        <w:spacing w:before="5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«Общегосударственные вопросы» на 15 569,93 тыс.руб., или на 4,8%;</w:t>
      </w:r>
    </w:p>
    <w:p>
      <w:pPr>
        <w:pStyle w:val="af8"/>
        <w:numPr>
          <w:ilvl w:val="0"/>
          <w:numId w:val="19"/>
        </w:numPr>
        <w:shd w:val="clear" w:color="auto" w:fill="FFFFFF"/>
        <w:spacing w:before="5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«Физкультура и спорт» на 45 342,79 тыс.руб., или в 44,0%, в связи с перераспределением расходов между тренировочной и методической деятельностью </w:t>
      </w:r>
      <w:r>
        <w:rPr>
          <w:sz w:val="24"/>
          <w:szCs w:val="24"/>
        </w:rPr>
        <w:br/>
        <w:t>в области физической культуры и спорта в соответствии с п. 21. Приказа Министерства спорта РФ от 27.12.2013 № 1125, поручением Губернатора от 22.02.2017 № СЖ-07-459;</w:t>
      </w:r>
    </w:p>
    <w:p>
      <w:pPr>
        <w:pStyle w:val="af8"/>
        <w:numPr>
          <w:ilvl w:val="0"/>
          <w:numId w:val="19"/>
        </w:numPr>
        <w:shd w:val="clear" w:color="auto" w:fill="FFFFFF"/>
        <w:spacing w:before="5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«Культура и кинематография» на 71 526,43 тыс.руб., или на 18,6% в связи с увеличением межбюджетных трансфертов, выделяемых </w:t>
      </w:r>
      <w:r>
        <w:rPr>
          <w:bCs/>
          <w:sz w:val="24"/>
          <w:szCs w:val="24"/>
        </w:rPr>
        <w:t>в рамках реализации регионального проекта «Культура» (капитальный ремонт здания МБУ «Самусьский ДК» – 64 093,80 тыс.руб.)</w:t>
      </w:r>
      <w:r>
        <w:rPr>
          <w:sz w:val="24"/>
          <w:szCs w:val="24"/>
        </w:rPr>
        <w:t>;</w:t>
      </w:r>
    </w:p>
    <w:p>
      <w:pPr>
        <w:pStyle w:val="af8"/>
        <w:numPr>
          <w:ilvl w:val="0"/>
          <w:numId w:val="19"/>
        </w:numPr>
        <w:shd w:val="clear" w:color="auto" w:fill="FFFFFF"/>
        <w:spacing w:before="5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«Национальная экономика» на 78 725,43 тыс.руб. или на 16,8 % в связи с увеличением межбюджетных трансфертов, выделяемых </w:t>
      </w:r>
      <w:r>
        <w:rPr>
          <w:bCs/>
          <w:sz w:val="24"/>
          <w:szCs w:val="24"/>
        </w:rPr>
        <w:t>в сфере дорожного хозяйства (</w:t>
      </w:r>
      <w:r>
        <w:rPr>
          <w:sz w:val="24"/>
          <w:szCs w:val="24"/>
        </w:rPr>
        <w:t xml:space="preserve">реализация </w:t>
      </w:r>
      <w:r>
        <w:rPr>
          <w:bCs/>
          <w:sz w:val="24"/>
          <w:szCs w:val="24"/>
        </w:rPr>
        <w:t xml:space="preserve">регионального проекта </w:t>
      </w:r>
      <w:r>
        <w:rPr>
          <w:sz w:val="24"/>
          <w:szCs w:val="24"/>
        </w:rPr>
        <w:t xml:space="preserve">«Дорожная сеть» и другие направления), в сфере поддержки предпринимательства (реализация </w:t>
      </w:r>
      <w:r>
        <w:rPr>
          <w:bCs/>
          <w:sz w:val="24"/>
          <w:szCs w:val="24"/>
        </w:rPr>
        <w:t>регионального проекта «Акселерация субъектов малого и среднего предпринимательства»)</w:t>
      </w:r>
      <w:r>
        <w:rPr>
          <w:sz w:val="24"/>
          <w:szCs w:val="24"/>
        </w:rPr>
        <w:t>;</w:t>
      </w:r>
    </w:p>
    <w:p>
      <w:pPr>
        <w:pStyle w:val="af8"/>
        <w:numPr>
          <w:ilvl w:val="0"/>
          <w:numId w:val="19"/>
        </w:numPr>
        <w:shd w:val="clear" w:color="auto" w:fill="FFFFFF"/>
        <w:spacing w:before="5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«ЖКХ» на 115 368,70 тыс.руб., или на 44,9% в связи с увеличением межбюджетных трансфертов, выделяемых в сфере благоустройства (реализация </w:t>
      </w:r>
      <w:r>
        <w:rPr>
          <w:bCs/>
          <w:sz w:val="24"/>
          <w:szCs w:val="24"/>
        </w:rPr>
        <w:t>регионального проекта «Формирование комфортной городской среды», строительство кладбища, полигона ТБО в п. Самусь).</w:t>
      </w:r>
    </w:p>
    <w:p>
      <w:pPr>
        <w:shd w:val="clear" w:color="auto" w:fill="FFFFFF"/>
        <w:spacing w:before="5"/>
        <w:ind w:right="10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 некоторым разделам отмечено снижение расходов. Наибольшее снижение расходов к уровню 2018 года зафиксировано по разделу «Социальная политика» </w:t>
      </w:r>
      <w:r>
        <w:rPr>
          <w:sz w:val="24"/>
          <w:szCs w:val="24"/>
        </w:rPr>
        <w:br/>
        <w:t>на 2 137,52 тыс.руб., что обусловлено отменой ряда дополнительных мер социальной поддержки отдельных категорий граждан ЗАТО Северск Решением Думы ЗАТО Северск от 29.08.2019 № 54/5.</w:t>
      </w:r>
    </w:p>
    <w:p>
      <w:pPr>
        <w:shd w:val="clear" w:color="auto" w:fill="FFFFFF"/>
        <w:spacing w:before="5"/>
        <w:ind w:right="10"/>
        <w:jc w:val="both"/>
        <w:rPr>
          <w:noProof/>
          <w:sz w:val="24"/>
          <w:szCs w:val="24"/>
        </w:rPr>
      </w:pPr>
    </w:p>
    <w:p>
      <w:pPr>
        <w:shd w:val="clear" w:color="auto" w:fill="FFFFFF"/>
        <w:spacing w:before="5"/>
        <w:ind w:right="10"/>
        <w:jc w:val="both"/>
        <w:rPr>
          <w:noProof/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874327" cy="3359727"/>
            <wp:effectExtent l="19050" t="0" r="0" b="0"/>
            <wp:docPr id="8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>
      <w:pPr>
        <w:shd w:val="clear" w:color="auto" w:fill="FFFFFF"/>
        <w:spacing w:before="5"/>
        <w:ind w:right="10"/>
        <w:jc w:val="center"/>
        <w:rPr>
          <w:noProof/>
          <w:sz w:val="24"/>
          <w:szCs w:val="24"/>
        </w:rPr>
      </w:pPr>
    </w:p>
    <w:p>
      <w:pPr>
        <w:shd w:val="clear" w:color="auto" w:fill="FFFFFF"/>
        <w:spacing w:before="5"/>
        <w:ind w:right="10"/>
        <w:jc w:val="center"/>
        <w:rPr>
          <w:noProof/>
          <w:sz w:val="24"/>
          <w:szCs w:val="24"/>
        </w:rPr>
      </w:pPr>
      <w:r>
        <w:rPr>
          <w:noProof/>
          <w:sz w:val="24"/>
          <w:szCs w:val="24"/>
        </w:rPr>
        <w:t xml:space="preserve">Рисунок 10. Темпы роста по функциональной структуре расходов </w:t>
      </w:r>
    </w:p>
    <w:p>
      <w:pPr>
        <w:shd w:val="clear" w:color="auto" w:fill="FFFFFF"/>
        <w:spacing w:before="5"/>
        <w:ind w:right="10" w:firstLine="708"/>
        <w:jc w:val="center"/>
        <w:rPr>
          <w:noProof/>
          <w:sz w:val="24"/>
          <w:szCs w:val="24"/>
        </w:rPr>
      </w:pPr>
      <w:r>
        <w:rPr>
          <w:noProof/>
          <w:sz w:val="24"/>
          <w:szCs w:val="24"/>
        </w:rPr>
        <w:t>бюджета ЗАТО Северск 2019 года</w:t>
      </w:r>
    </w:p>
    <w:p>
      <w:pPr>
        <w:shd w:val="clear" w:color="auto" w:fill="FFFFFF"/>
        <w:spacing w:before="5"/>
        <w:ind w:right="10" w:firstLine="708"/>
        <w:rPr>
          <w:highlight w:val="yellow"/>
        </w:rPr>
      </w:pPr>
    </w:p>
    <w:p>
      <w:pPr>
        <w:spacing w:after="120"/>
        <w:ind w:right="57"/>
        <w:jc w:val="center"/>
        <w:rPr>
          <w:b/>
          <w:sz w:val="24"/>
          <w:szCs w:val="24"/>
        </w:rPr>
      </w:pPr>
    </w:p>
    <w:p>
      <w:pPr>
        <w:spacing w:after="120"/>
        <w:ind w:right="5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4.1.1. Расходы </w:t>
      </w:r>
      <w:r>
        <w:rPr>
          <w:b/>
          <w:bCs/>
          <w:color w:val="000000"/>
          <w:sz w:val="24"/>
          <w:szCs w:val="24"/>
        </w:rPr>
        <w:t>капитального характера</w:t>
      </w:r>
    </w:p>
    <w:p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В 2019 году за счёт средств бюджета ЗАТО Северск были осуществлены следующие расходы капитального характера на общую сумму 349 659,89 тыс.руб.:</w:t>
      </w:r>
    </w:p>
    <w:p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1)</w:t>
      </w:r>
      <w:r>
        <w:rPr>
          <w:b/>
          <w:bCs/>
          <w:sz w:val="24"/>
          <w:szCs w:val="24"/>
          <w:lang w:val="en-US"/>
        </w:rPr>
        <w:t> </w:t>
      </w:r>
      <w:r>
        <w:rPr>
          <w:b/>
          <w:bCs/>
          <w:sz w:val="24"/>
          <w:szCs w:val="24"/>
        </w:rPr>
        <w:t>приобретены основные средства</w:t>
      </w:r>
      <w:r>
        <w:rPr>
          <w:bCs/>
          <w:sz w:val="24"/>
          <w:szCs w:val="24"/>
        </w:rPr>
        <w:t xml:space="preserve"> на сумму 79 342,29 тыс.руб., в том числе:</w:t>
      </w:r>
    </w:p>
    <w:p>
      <w:pPr>
        <w:tabs>
          <w:tab w:val="left" w:pos="993"/>
        </w:tabs>
        <w:ind w:left="709"/>
        <w:jc w:val="both"/>
        <w:rPr>
          <w:bCs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>-</w:t>
      </w:r>
      <w:r>
        <w:rPr>
          <w:bCs/>
          <w:color w:val="000000" w:themeColor="text1"/>
          <w:sz w:val="24"/>
          <w:szCs w:val="24"/>
          <w:lang w:val="en-US"/>
        </w:rPr>
        <w:t> </w:t>
      </w:r>
      <w:r>
        <w:rPr>
          <w:bCs/>
          <w:i/>
          <w:color w:val="000000" w:themeColor="text1"/>
          <w:sz w:val="24"/>
          <w:szCs w:val="24"/>
        </w:rPr>
        <w:t>по разделу «Образование» на 21</w:t>
      </w:r>
      <w:r>
        <w:rPr>
          <w:bCs/>
          <w:i/>
          <w:sz w:val="24"/>
          <w:szCs w:val="24"/>
        </w:rPr>
        <w:t xml:space="preserve"> 797,93 тыс.руб.,</w:t>
      </w:r>
      <w:r>
        <w:rPr>
          <w:bCs/>
          <w:sz w:val="24"/>
          <w:szCs w:val="24"/>
        </w:rPr>
        <w:t xml:space="preserve"> из них:</w:t>
      </w:r>
    </w:p>
    <w:p>
      <w:pPr>
        <w:pStyle w:val="af8"/>
        <w:numPr>
          <w:ilvl w:val="0"/>
          <w:numId w:val="14"/>
        </w:numPr>
        <w:tabs>
          <w:tab w:val="left" w:pos="993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18 375,98 тыс.руб. - приобретение учебного, спортивного, компьютерного, кухонного оборудования, мебели для образовательных организаций;</w:t>
      </w:r>
    </w:p>
    <w:p>
      <w:pPr>
        <w:pStyle w:val="af8"/>
        <w:numPr>
          <w:ilvl w:val="0"/>
          <w:numId w:val="14"/>
        </w:numPr>
        <w:tabs>
          <w:tab w:val="left" w:pos="993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1 588,08 тыс.руб. - приобретение новых малых архитектурных форм для МДОО;</w:t>
      </w:r>
    </w:p>
    <w:p>
      <w:pPr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472,83 тыс.руб. - приобретение компьютерной техники и мебели для нужд Управления образования и МКУ ЗАТО Северск «ЦБОУ»;</w:t>
      </w:r>
    </w:p>
    <w:p>
      <w:pPr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792,0 тыс.руб. - приобретение отопительных котлов для ремонта дымовой трубы в МАУ ДОЛ «Восход»;</w:t>
      </w:r>
    </w:p>
    <w:p>
      <w:pPr>
        <w:pStyle w:val="af8"/>
        <w:numPr>
          <w:ilvl w:val="0"/>
          <w:numId w:val="14"/>
        </w:numPr>
        <w:tabs>
          <w:tab w:val="left" w:pos="993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346,55 тыс.руб.  - приобретение спортивного, компьютерного оборудования, мебели и снегоуборщика для организаций дополнительного образования детей физкультурно-спортивной направленности.</w:t>
      </w:r>
    </w:p>
    <w:p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</w:t>
      </w:r>
      <w:r>
        <w:rPr>
          <w:bCs/>
          <w:sz w:val="24"/>
          <w:szCs w:val="24"/>
          <w:lang w:val="en-US"/>
        </w:rPr>
        <w:t> </w:t>
      </w:r>
      <w:r>
        <w:rPr>
          <w:bCs/>
          <w:i/>
          <w:sz w:val="24"/>
          <w:szCs w:val="24"/>
        </w:rPr>
        <w:t xml:space="preserve">по разделу </w:t>
      </w:r>
      <w:r>
        <w:rPr>
          <w:bCs/>
          <w:i/>
          <w:color w:val="000000" w:themeColor="text1"/>
          <w:sz w:val="24"/>
          <w:szCs w:val="24"/>
        </w:rPr>
        <w:t>«Культура, кинематография</w:t>
      </w:r>
      <w:r>
        <w:rPr>
          <w:bCs/>
          <w:i/>
          <w:sz w:val="24"/>
          <w:szCs w:val="24"/>
        </w:rPr>
        <w:t>» на 18 121,81 тыс.руб.,</w:t>
      </w:r>
      <w:r>
        <w:rPr>
          <w:bCs/>
          <w:sz w:val="24"/>
          <w:szCs w:val="24"/>
        </w:rPr>
        <w:t xml:space="preserve"> из них:</w:t>
      </w:r>
    </w:p>
    <w:p>
      <w:pPr>
        <w:numPr>
          <w:ilvl w:val="0"/>
          <w:numId w:val="21"/>
        </w:numPr>
        <w:tabs>
          <w:tab w:val="left" w:pos="993"/>
        </w:tabs>
        <w:ind w:left="0"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9 608,13 тыс.руб. - приобретение сценического оборудования в рамках проекта «Поддержка творческой деятельности и укрепления материально-технической базы муниципальных театров в населенных пунктах с численностью населения до 300 тысяч человек»;</w:t>
      </w:r>
    </w:p>
    <w:p>
      <w:pPr>
        <w:numPr>
          <w:ilvl w:val="0"/>
          <w:numId w:val="21"/>
        </w:numPr>
        <w:tabs>
          <w:tab w:val="left" w:pos="993"/>
        </w:tabs>
        <w:ind w:left="0"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3 968,30 тыс.руб. - приобретение пассажирского микроавтобуса, мебели и специального технического оборудования для реализации творческого проекта «Поддержка творческой деятельности и техническое оснащение детских и кукольных театров»;</w:t>
      </w:r>
    </w:p>
    <w:p>
      <w:pPr>
        <w:numPr>
          <w:ilvl w:val="0"/>
          <w:numId w:val="21"/>
        </w:numPr>
        <w:tabs>
          <w:tab w:val="left" w:pos="993"/>
        </w:tabs>
        <w:ind w:left="0"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2 268,67 тыс.руб. - приобретение звукового оборудования;</w:t>
      </w:r>
    </w:p>
    <w:p>
      <w:pPr>
        <w:numPr>
          <w:ilvl w:val="0"/>
          <w:numId w:val="21"/>
        </w:numPr>
        <w:tabs>
          <w:tab w:val="left" w:pos="993"/>
        </w:tabs>
        <w:ind w:left="0"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1 492,80 тыс.руб. тыс.руб. - приобретение мебели для учреждений культуры;</w:t>
      </w:r>
    </w:p>
    <w:p>
      <w:pPr>
        <w:numPr>
          <w:ilvl w:val="0"/>
          <w:numId w:val="21"/>
        </w:numPr>
        <w:tabs>
          <w:tab w:val="left" w:pos="993"/>
        </w:tabs>
        <w:ind w:left="0"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600,00 тыс.руб. - приобретение легкового автомобиля.</w:t>
      </w:r>
    </w:p>
    <w:p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</w:t>
      </w:r>
      <w:r>
        <w:rPr>
          <w:bCs/>
          <w:sz w:val="24"/>
          <w:szCs w:val="24"/>
          <w:lang w:val="en-US"/>
        </w:rPr>
        <w:t> </w:t>
      </w:r>
      <w:r>
        <w:rPr>
          <w:bCs/>
          <w:i/>
          <w:sz w:val="24"/>
          <w:szCs w:val="24"/>
        </w:rPr>
        <w:t>по разделу «</w:t>
      </w:r>
      <w:r>
        <w:rPr>
          <w:i/>
          <w:sz w:val="24"/>
          <w:szCs w:val="24"/>
        </w:rPr>
        <w:t>Жилищно-коммунальное хозяйство</w:t>
      </w:r>
      <w:r>
        <w:rPr>
          <w:bCs/>
          <w:i/>
          <w:sz w:val="24"/>
          <w:szCs w:val="24"/>
        </w:rPr>
        <w:t>» на 17 359,85 тыс.руб</w:t>
      </w:r>
      <w:r>
        <w:rPr>
          <w:bCs/>
          <w:sz w:val="24"/>
          <w:szCs w:val="24"/>
        </w:rPr>
        <w:t>., в том числе:</w:t>
      </w:r>
    </w:p>
    <w:p>
      <w:pPr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color w:val="000000"/>
          <w:sz w:val="24"/>
          <w:szCs w:val="24"/>
        </w:rPr>
      </w:pPr>
      <w:r>
        <w:rPr>
          <w:bCs/>
          <w:sz w:val="24"/>
          <w:szCs w:val="24"/>
        </w:rPr>
        <w:t>6 183,53 тыс.руб. – приобретение и установка праздничной иллюминации к Дню города;</w:t>
      </w:r>
    </w:p>
    <w:p>
      <w:pPr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color w:val="000000"/>
          <w:sz w:val="24"/>
          <w:szCs w:val="24"/>
        </w:rPr>
      </w:pPr>
      <w:r>
        <w:rPr>
          <w:bCs/>
          <w:sz w:val="24"/>
          <w:szCs w:val="24"/>
        </w:rPr>
        <w:t xml:space="preserve">3 708,57 тыс.руб. – приобретение и установка </w:t>
      </w:r>
      <w:proofErr w:type="spellStart"/>
      <w:r>
        <w:rPr>
          <w:bCs/>
          <w:sz w:val="24"/>
          <w:szCs w:val="24"/>
        </w:rPr>
        <w:t>скейтпарка</w:t>
      </w:r>
      <w:proofErr w:type="spellEnd"/>
      <w:r>
        <w:rPr>
          <w:bCs/>
          <w:sz w:val="24"/>
          <w:szCs w:val="24"/>
        </w:rPr>
        <w:t xml:space="preserve">, </w:t>
      </w:r>
      <w:proofErr w:type="spellStart"/>
      <w:r>
        <w:rPr>
          <w:bCs/>
          <w:sz w:val="24"/>
          <w:szCs w:val="24"/>
        </w:rPr>
        <w:t>воркаута</w:t>
      </w:r>
      <w:proofErr w:type="spellEnd"/>
      <w:r>
        <w:rPr>
          <w:bCs/>
          <w:sz w:val="24"/>
          <w:szCs w:val="24"/>
        </w:rPr>
        <w:t xml:space="preserve">, уличных тренажеров, хозяйственного модуля в сквере микрорайона № 10 в </w:t>
      </w:r>
      <w:proofErr w:type="spellStart"/>
      <w:r>
        <w:rPr>
          <w:bCs/>
          <w:sz w:val="24"/>
          <w:szCs w:val="24"/>
        </w:rPr>
        <w:t>г.Северске</w:t>
      </w:r>
      <w:proofErr w:type="spellEnd"/>
      <w:r>
        <w:rPr>
          <w:bCs/>
          <w:sz w:val="24"/>
          <w:szCs w:val="24"/>
        </w:rPr>
        <w:t>;</w:t>
      </w:r>
    </w:p>
    <w:p>
      <w:pPr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color w:val="000000"/>
          <w:sz w:val="24"/>
          <w:szCs w:val="24"/>
        </w:rPr>
      </w:pPr>
      <w:r>
        <w:rPr>
          <w:bCs/>
          <w:sz w:val="24"/>
          <w:szCs w:val="24"/>
        </w:rPr>
        <w:t>3 438,53 тыс.руб. – приобретение 1 ед. спецтехники (ПУМ «Магистраль»);</w:t>
      </w:r>
    </w:p>
    <w:p>
      <w:pPr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2 086,56 тыс.руб. – приобретение 238 контейнеров для ТКО;</w:t>
      </w:r>
    </w:p>
    <w:p>
      <w:pPr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1 000,00 тыс.руб. – приобретение средств измерения массы для оборудования полигонов ТКО;</w:t>
      </w:r>
    </w:p>
    <w:p>
      <w:pPr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751,71 тыс.руб. – приобретение газонокосилок и бензопил;</w:t>
      </w:r>
    </w:p>
    <w:p>
      <w:pPr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92,32 тыс.руб. – </w:t>
      </w:r>
      <w:r>
        <w:rPr>
          <w:bCs/>
          <w:sz w:val="24"/>
          <w:szCs w:val="24"/>
        </w:rPr>
        <w:t>оборудование пандусами и поручнями 6 жилых домов для беспрепятственного доступа инвалидов и других маломобильных групп населения</w:t>
      </w:r>
      <w:r>
        <w:rPr>
          <w:color w:val="000000"/>
          <w:sz w:val="24"/>
          <w:szCs w:val="24"/>
        </w:rPr>
        <w:t>;</w:t>
      </w:r>
    </w:p>
    <w:p>
      <w:pPr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68,86 тыс.руб. – оборудование наружным освещением пешеходной дорожки от ул.Октябрьская до ул.Гагарина и на установка светильника на пер.Речной, 36 в пос.Самусь;</w:t>
      </w:r>
    </w:p>
    <w:p>
      <w:pPr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color w:val="000000"/>
          <w:sz w:val="24"/>
          <w:szCs w:val="24"/>
        </w:rPr>
      </w:pPr>
      <w:r>
        <w:rPr>
          <w:spacing w:val="-4"/>
          <w:sz w:val="24"/>
          <w:szCs w:val="24"/>
        </w:rPr>
        <w:t>29,77 тыс.руб.  – установка игрового оборудования за счет средств резервного фонда финансирования непредвиденных расходов Администрации Томской области</w:t>
      </w:r>
    </w:p>
    <w:p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</w:t>
      </w:r>
      <w:r>
        <w:rPr>
          <w:bCs/>
          <w:sz w:val="24"/>
          <w:szCs w:val="24"/>
          <w:lang w:val="en-US"/>
        </w:rPr>
        <w:t> </w:t>
      </w:r>
      <w:r>
        <w:rPr>
          <w:bCs/>
          <w:i/>
          <w:sz w:val="24"/>
          <w:szCs w:val="24"/>
        </w:rPr>
        <w:t>по разделу «</w:t>
      </w:r>
      <w:r>
        <w:rPr>
          <w:bCs/>
          <w:i/>
          <w:color w:val="000000" w:themeColor="text1"/>
          <w:sz w:val="24"/>
          <w:szCs w:val="24"/>
        </w:rPr>
        <w:t>Физическая культура и</w:t>
      </w:r>
      <w:r>
        <w:rPr>
          <w:bCs/>
          <w:i/>
          <w:sz w:val="24"/>
          <w:szCs w:val="24"/>
        </w:rPr>
        <w:t xml:space="preserve"> спорт» на 10 726,04 тыс.руб.,</w:t>
      </w:r>
      <w:r>
        <w:rPr>
          <w:bCs/>
          <w:sz w:val="24"/>
          <w:szCs w:val="24"/>
        </w:rPr>
        <w:t xml:space="preserve"> из них:</w:t>
      </w:r>
    </w:p>
    <w:p>
      <w:pPr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7 734,41 тыс.руб. -</w:t>
      </w:r>
      <w:r>
        <w:rPr>
          <w:bCs/>
          <w:sz w:val="24"/>
          <w:szCs w:val="24"/>
        </w:rPr>
        <w:t xml:space="preserve"> приобретение спортивного инвентаря, оборудования и спортивной экипировки для учреждений дополнительного образования физкультурно-спортивной направленности в рамках реализации регионального проекта «Спорт - норма жизни»;</w:t>
      </w:r>
    </w:p>
    <w:p>
      <w:pPr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 xml:space="preserve">2 999,78 тыс.руб. - приобретение </w:t>
      </w:r>
      <w:r>
        <w:rPr>
          <w:bCs/>
          <w:sz w:val="24"/>
          <w:szCs w:val="24"/>
        </w:rPr>
        <w:t>спортивно-технологического оборудования для оснащения объектов спортивной инфраструктуры в рамках реализации регионального проекта «Спорт - норма жизни»</w:t>
      </w:r>
      <w:r>
        <w:rPr>
          <w:color w:val="000000"/>
          <w:sz w:val="24"/>
          <w:szCs w:val="24"/>
        </w:rPr>
        <w:t>.</w:t>
      </w:r>
    </w:p>
    <w:p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</w:t>
      </w:r>
      <w:r>
        <w:rPr>
          <w:bCs/>
          <w:sz w:val="24"/>
          <w:szCs w:val="24"/>
          <w:lang w:val="en-US"/>
        </w:rPr>
        <w:t> </w:t>
      </w:r>
      <w:r>
        <w:rPr>
          <w:bCs/>
          <w:i/>
          <w:sz w:val="24"/>
          <w:szCs w:val="24"/>
        </w:rPr>
        <w:t>по разделу «</w:t>
      </w:r>
      <w:r>
        <w:rPr>
          <w:bCs/>
          <w:i/>
          <w:color w:val="000000" w:themeColor="text1"/>
          <w:sz w:val="24"/>
          <w:szCs w:val="24"/>
        </w:rPr>
        <w:t xml:space="preserve">Общегосударственные </w:t>
      </w:r>
      <w:r>
        <w:rPr>
          <w:bCs/>
          <w:i/>
          <w:sz w:val="24"/>
          <w:szCs w:val="24"/>
        </w:rPr>
        <w:t>вопросы» на 6 106,87 тыс.руб.,</w:t>
      </w:r>
      <w:r>
        <w:rPr>
          <w:bCs/>
          <w:sz w:val="24"/>
          <w:szCs w:val="24"/>
        </w:rPr>
        <w:t xml:space="preserve"> из них:</w:t>
      </w:r>
    </w:p>
    <w:p>
      <w:pPr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3 833,90 тыс.руб. – </w:t>
      </w:r>
      <w:r>
        <w:rPr>
          <w:color w:val="000000"/>
          <w:sz w:val="24"/>
          <w:szCs w:val="24"/>
        </w:rPr>
        <w:t>приобретение двух легковых автомобилей;</w:t>
      </w:r>
    </w:p>
    <w:p>
      <w:pPr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1 509,02 тыс.руб. - приобретение вычислительной техники, оргтехники; </w:t>
      </w:r>
    </w:p>
    <w:p>
      <w:pPr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432,90 тыс.руб. - приобретение мебели.</w:t>
      </w:r>
    </w:p>
    <w:p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 </w:t>
      </w:r>
      <w:r>
        <w:rPr>
          <w:bCs/>
          <w:i/>
          <w:sz w:val="24"/>
          <w:szCs w:val="24"/>
        </w:rPr>
        <w:t>по разделу «Национальная экономика» на 5 229,79 тыс.руб.</w:t>
      </w:r>
      <w:r>
        <w:rPr>
          <w:bCs/>
          <w:sz w:val="24"/>
          <w:szCs w:val="24"/>
        </w:rPr>
        <w:t xml:space="preserve">, из них: </w:t>
      </w:r>
    </w:p>
    <w:p>
      <w:pPr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3 614,81 тыс.руб. – приобретение и установка 456 дорожных знаков;</w:t>
      </w:r>
    </w:p>
    <w:p>
      <w:pPr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727,00 тыс.руб. – приобретение автомобиля грузового УАЗ; </w:t>
      </w:r>
    </w:p>
    <w:p>
      <w:pPr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109,66 тыс.руб. – установка 92,4 м пешеходных ограждений;</w:t>
      </w:r>
    </w:p>
    <w:p>
      <w:pPr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439,2 тыс.руб. – приобретение мебели, МФУ;</w:t>
      </w:r>
    </w:p>
    <w:p>
      <w:pPr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132,9 тыс.руб. – приобретение аншлагов, содержащих информацию о мерах пожарной безопасности в лесах;</w:t>
      </w:r>
    </w:p>
    <w:p>
      <w:pPr>
        <w:jc w:val="both"/>
        <w:rPr>
          <w:bCs/>
          <w:sz w:val="10"/>
          <w:szCs w:val="10"/>
        </w:rPr>
      </w:pPr>
    </w:p>
    <w:p>
      <w:pPr>
        <w:ind w:firstLine="709"/>
        <w:jc w:val="both"/>
        <w:rPr>
          <w:b/>
          <w:bCs/>
          <w:sz w:val="24"/>
          <w:szCs w:val="24"/>
        </w:rPr>
      </w:pPr>
      <w:r>
        <w:rPr>
          <w:bCs/>
          <w:sz w:val="24"/>
          <w:szCs w:val="24"/>
        </w:rPr>
        <w:t>2) </w:t>
      </w:r>
      <w:r>
        <w:rPr>
          <w:b/>
          <w:bCs/>
          <w:sz w:val="24"/>
          <w:szCs w:val="24"/>
        </w:rPr>
        <w:t>приобретено в части недвижимого имущества:</w:t>
      </w:r>
    </w:p>
    <w:p>
      <w:pPr>
        <w:spacing w:before="80"/>
        <w:ind w:firstLine="709"/>
        <w:jc w:val="both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- 17 жилых помещений для детей-сирот</w:t>
      </w:r>
      <w:r>
        <w:rPr>
          <w:bCs/>
          <w:sz w:val="24"/>
          <w:szCs w:val="24"/>
        </w:rPr>
        <w:t xml:space="preserve"> и детей, оставшихся без попечения родителей (в том числе для 10 человек в соответствии с решениями Северского городского суда ТО) на общую сумму 18 467,20 тыс.руб., в том числе: 1 357,96 тыс. руб. за счет средств федерального бюджета, 17 109,24 тыс. руб. за счет средств областного бюджета; </w:t>
      </w:r>
    </w:p>
    <w:p>
      <w:pPr>
        <w:spacing w:before="80"/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 </w:t>
      </w:r>
      <w:r>
        <w:rPr>
          <w:b/>
          <w:bCs/>
          <w:sz w:val="24"/>
          <w:szCs w:val="24"/>
        </w:rPr>
        <w:t>объект недвижимого имущества</w:t>
      </w:r>
      <w:r>
        <w:rPr>
          <w:bCs/>
          <w:sz w:val="24"/>
          <w:szCs w:val="24"/>
        </w:rPr>
        <w:t xml:space="preserve">, расположенный по адресу: </w:t>
      </w:r>
      <w:proofErr w:type="spellStart"/>
      <w:r>
        <w:rPr>
          <w:bCs/>
          <w:sz w:val="24"/>
          <w:szCs w:val="24"/>
        </w:rPr>
        <w:t>г.Северск</w:t>
      </w:r>
      <w:proofErr w:type="spellEnd"/>
      <w:r>
        <w:rPr>
          <w:bCs/>
          <w:sz w:val="24"/>
          <w:szCs w:val="24"/>
        </w:rPr>
        <w:t>, пос.Самусь, ул.Ленина, 8 на сумму 1 840,00 тыс.руб.;</w:t>
      </w:r>
    </w:p>
    <w:p>
      <w:pPr>
        <w:spacing w:before="80"/>
        <w:ind w:firstLine="709"/>
        <w:jc w:val="both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>- оплачены обязательства</w:t>
      </w:r>
      <w:r>
        <w:rPr>
          <w:bCs/>
          <w:sz w:val="24"/>
          <w:szCs w:val="24"/>
        </w:rPr>
        <w:t xml:space="preserve"> 2019 года </w:t>
      </w:r>
      <w:r>
        <w:rPr>
          <w:b/>
          <w:bCs/>
          <w:sz w:val="24"/>
          <w:szCs w:val="24"/>
        </w:rPr>
        <w:t>по выкупу здания</w:t>
      </w:r>
      <w:r>
        <w:rPr>
          <w:bCs/>
          <w:sz w:val="24"/>
          <w:szCs w:val="24"/>
        </w:rPr>
        <w:t xml:space="preserve"> для размещения </w:t>
      </w:r>
      <w:r>
        <w:rPr>
          <w:b/>
          <w:bCs/>
          <w:sz w:val="24"/>
          <w:szCs w:val="24"/>
        </w:rPr>
        <w:t>дошкольного образовательного учреждения</w:t>
      </w:r>
      <w:r>
        <w:rPr>
          <w:bCs/>
          <w:sz w:val="24"/>
          <w:szCs w:val="24"/>
        </w:rPr>
        <w:t xml:space="preserve"> на 145 мест, по адресу г. Северск, ул. Северная, 32 в сумме 15 543,24 тыс.руб. за счет средств областного бюджета;</w:t>
      </w:r>
    </w:p>
    <w:p>
      <w:pPr>
        <w:pStyle w:val="a5"/>
        <w:spacing w:before="120" w:after="0"/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>3) </w:t>
      </w:r>
      <w:r>
        <w:rPr>
          <w:b/>
          <w:sz w:val="24"/>
          <w:szCs w:val="24"/>
        </w:rPr>
        <w:t>осуществлены бюджетные инвестиции в объекты капитального строительства</w:t>
      </w:r>
      <w:r>
        <w:rPr>
          <w:sz w:val="24"/>
          <w:szCs w:val="24"/>
        </w:rPr>
        <w:t xml:space="preserve"> муниципальной собственности на общую сумму 129 878,73 тыс.руб., из них наибольшие суммы направлены:</w:t>
      </w:r>
    </w:p>
    <w:p>
      <w:pPr>
        <w:pStyle w:val="a5"/>
        <w:spacing w:before="120" w:after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- 59 852,34 тыс.руб. – на строительство полигона ТБО в п. Самусь;</w:t>
      </w:r>
    </w:p>
    <w:p>
      <w:pPr>
        <w:pStyle w:val="a5"/>
        <w:spacing w:after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- 44 702,92 тыс.руб. - на строительство муниципального общественного кладбища в </w:t>
      </w:r>
      <w:proofErr w:type="spellStart"/>
      <w:r>
        <w:rPr>
          <w:sz w:val="24"/>
          <w:szCs w:val="24"/>
        </w:rPr>
        <w:t>г.Северске</w:t>
      </w:r>
      <w:proofErr w:type="spellEnd"/>
      <w:r>
        <w:rPr>
          <w:sz w:val="24"/>
          <w:szCs w:val="24"/>
        </w:rPr>
        <w:t>;</w:t>
      </w:r>
    </w:p>
    <w:p>
      <w:pPr>
        <w:pStyle w:val="a5"/>
        <w:spacing w:after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- 12 334,25 тыс.руб. – на строительство фонтана в районе многопрофильного спортивного комплекса по ул. Калинина;</w:t>
      </w:r>
    </w:p>
    <w:p>
      <w:pPr>
        <w:pStyle w:val="a5"/>
        <w:spacing w:after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- 5 251,67 тыс.руб. - на строительство сквера с комплексной спортивной площадкой, фонтаном и местами отдыха в микрорайоне № 10 г.Северска;</w:t>
      </w:r>
    </w:p>
    <w:p>
      <w:pPr>
        <w:pStyle w:val="a5"/>
        <w:spacing w:after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- 2 720,77 тыс.руб. - на строительство корпоративной оптической сети передачи данных между городскими организациями и Администрацией ЗАТО Северск;</w:t>
      </w:r>
    </w:p>
    <w:p>
      <w:pPr>
        <w:pStyle w:val="a5"/>
        <w:spacing w:after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- 1 810,11 тыс.руб.- на реконструкцию нежилого помещения на первом этаже с устройством отдельного входа по адресу: пос.Орловка, ул.Мира, д.25 (ФАП).</w:t>
      </w:r>
    </w:p>
    <w:p>
      <w:pPr>
        <w:pStyle w:val="a5"/>
        <w:spacing w:after="0"/>
        <w:ind w:firstLine="709"/>
        <w:jc w:val="both"/>
        <w:rPr>
          <w:sz w:val="10"/>
          <w:szCs w:val="10"/>
        </w:rPr>
      </w:pPr>
    </w:p>
    <w:p>
      <w:pPr>
        <w:pStyle w:val="a5"/>
        <w:spacing w:after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4) </w:t>
      </w:r>
      <w:r>
        <w:rPr>
          <w:b/>
          <w:sz w:val="24"/>
          <w:szCs w:val="24"/>
        </w:rPr>
        <w:t>расходы на капитальный ремонт</w:t>
      </w:r>
      <w:r>
        <w:rPr>
          <w:sz w:val="24"/>
          <w:szCs w:val="24"/>
        </w:rPr>
        <w:t xml:space="preserve"> составили 104 588,43 тыс.руб. в том числе:</w:t>
      </w:r>
    </w:p>
    <w:p>
      <w:pPr>
        <w:pStyle w:val="a5"/>
        <w:spacing w:after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капитальный ремонт в сфере дорожного хозяйства на сумму 32 750,02 тыс.руб.;</w:t>
      </w:r>
    </w:p>
    <w:p>
      <w:pPr>
        <w:pStyle w:val="a5"/>
        <w:spacing w:after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 капитальный ремонт объектов жилищно-коммунального хозяйства и благоустройства на сумму 3 672,84 тыс.руб.;</w:t>
      </w:r>
    </w:p>
    <w:p>
      <w:pPr>
        <w:pStyle w:val="a5"/>
        <w:spacing w:after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капитальный ремонт объектов социальной сферы на сумму 67 837,54 тыс.руб., из них:</w:t>
      </w:r>
    </w:p>
    <w:p>
      <w:pPr>
        <w:pStyle w:val="a5"/>
        <w:numPr>
          <w:ilvl w:val="0"/>
          <w:numId w:val="7"/>
        </w:numPr>
        <w:tabs>
          <w:tab w:val="left" w:pos="993"/>
        </w:tabs>
        <w:spacing w:after="0"/>
        <w:ind w:left="709" w:firstLine="0"/>
        <w:jc w:val="both"/>
        <w:rPr>
          <w:sz w:val="24"/>
          <w:szCs w:val="24"/>
        </w:rPr>
      </w:pPr>
      <w:r>
        <w:rPr>
          <w:sz w:val="24"/>
          <w:szCs w:val="24"/>
        </w:rPr>
        <w:t>64 093,80 тыс.руб. - капитальный ремонт здания МБУ «Самусьский ДК»;</w:t>
      </w:r>
    </w:p>
    <w:p>
      <w:pPr>
        <w:pStyle w:val="a5"/>
        <w:numPr>
          <w:ilvl w:val="0"/>
          <w:numId w:val="7"/>
        </w:numPr>
        <w:tabs>
          <w:tab w:val="left" w:pos="993"/>
        </w:tabs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3 062,67 тыс.руб. - капитальный ремонт системы отопления, вентиляции и кондиционирования МАУ «ГДК» в </w:t>
      </w:r>
      <w:proofErr w:type="spellStart"/>
      <w:r>
        <w:rPr>
          <w:sz w:val="24"/>
          <w:szCs w:val="24"/>
        </w:rPr>
        <w:t>г.Северске</w:t>
      </w:r>
      <w:proofErr w:type="spellEnd"/>
      <w:r>
        <w:rPr>
          <w:sz w:val="24"/>
          <w:szCs w:val="24"/>
        </w:rPr>
        <w:t>;</w:t>
      </w:r>
    </w:p>
    <w:p>
      <w:pPr>
        <w:pStyle w:val="a5"/>
        <w:numPr>
          <w:ilvl w:val="0"/>
          <w:numId w:val="7"/>
        </w:numPr>
        <w:tabs>
          <w:tab w:val="left" w:pos="993"/>
        </w:tabs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494,41 тыс.руб. - капитальный ремонт здания МБУ ДО ДЮСШ «Русь» (ПИР); </w:t>
      </w:r>
    </w:p>
    <w:p>
      <w:pPr>
        <w:pStyle w:val="a5"/>
        <w:numPr>
          <w:ilvl w:val="0"/>
          <w:numId w:val="5"/>
        </w:numPr>
        <w:tabs>
          <w:tab w:val="left" w:pos="993"/>
        </w:tabs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82,59 тыс.руб. - капитальный ремонт кровли МБОУ ДОД «Художественная школа» (ПИР).</w:t>
      </w:r>
    </w:p>
    <w:p>
      <w:pPr>
        <w:pStyle w:val="a5"/>
        <w:spacing w:after="0"/>
        <w:ind w:firstLine="703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4.1.2. Расходы на финансовое обеспечение выполнения </w:t>
      </w:r>
    </w:p>
    <w:p>
      <w:pPr>
        <w:pStyle w:val="a5"/>
        <w:ind w:firstLine="705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учреждениями муниципальных заданий</w:t>
      </w:r>
    </w:p>
    <w:p>
      <w:pPr>
        <w:pStyle w:val="a5"/>
        <w:spacing w:after="0"/>
        <w:ind w:firstLine="703"/>
        <w:jc w:val="both"/>
        <w:rPr>
          <w:sz w:val="24"/>
          <w:szCs w:val="24"/>
        </w:rPr>
      </w:pPr>
      <w:r>
        <w:rPr>
          <w:sz w:val="24"/>
          <w:szCs w:val="24"/>
        </w:rPr>
        <w:t>На территории ЗАТО Северск реализуется одно из основных направлений бюджетной политики в части планирования бюджетных ассигнований и исполнения расходов бюджета по предоставлению субсидий муниципальным бюджетным, автономным учреждениям, связанных с оказанием ими муниципальных услуг (выполнением работ), на иные цели.</w:t>
      </w:r>
    </w:p>
    <w:p>
      <w:pPr>
        <w:pStyle w:val="a5"/>
        <w:spacing w:after="0"/>
        <w:ind w:firstLine="70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Расходы бюджета ЗАТО Северск на финансовое обеспечение муниципальных заданий составили 2 550 129,89 тыс.руб., или 54,9 % от общей суммы расходов бюджета ЗАТО Северск. </w:t>
      </w:r>
    </w:p>
    <w:p>
      <w:pPr>
        <w:pStyle w:val="a5"/>
        <w:spacing w:before="60" w:after="60"/>
        <w:ind w:firstLine="703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Таблица 42. Структура расходов субсидий на муниципальное задание и на иные цели в 2019 году</w:t>
      </w:r>
    </w:p>
    <w:tbl>
      <w:tblPr>
        <w:tblW w:w="937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09"/>
        <w:gridCol w:w="1417"/>
        <w:gridCol w:w="1276"/>
        <w:gridCol w:w="723"/>
        <w:gridCol w:w="1225"/>
        <w:gridCol w:w="1312"/>
        <w:gridCol w:w="709"/>
      </w:tblGrid>
      <w:tr>
        <w:trPr>
          <w:trHeight w:val="300"/>
        </w:trPr>
        <w:tc>
          <w:tcPr>
            <w:tcW w:w="2709" w:type="dxa"/>
            <w:vMerge w:val="restart"/>
            <w:shd w:val="clear" w:color="auto" w:fill="auto"/>
            <w:noWrap/>
            <w:vAlign w:val="center"/>
          </w:tcPr>
          <w:p>
            <w:pPr>
              <w:jc w:val="center"/>
            </w:pPr>
            <w:r>
              <w:t>Направление расходов</w:t>
            </w:r>
          </w:p>
        </w:tc>
        <w:tc>
          <w:tcPr>
            <w:tcW w:w="3416" w:type="dxa"/>
            <w:gridSpan w:val="3"/>
            <w:shd w:val="clear" w:color="auto" w:fill="auto"/>
            <w:vAlign w:val="center"/>
          </w:tcPr>
          <w:p>
            <w:pPr>
              <w:jc w:val="center"/>
            </w:pPr>
            <w:r>
              <w:t xml:space="preserve">Субсидии на </w:t>
            </w:r>
            <w:proofErr w:type="spellStart"/>
            <w:r>
              <w:t>мун.задание</w:t>
            </w:r>
            <w:proofErr w:type="spellEnd"/>
          </w:p>
        </w:tc>
        <w:tc>
          <w:tcPr>
            <w:tcW w:w="3246" w:type="dxa"/>
            <w:gridSpan w:val="3"/>
            <w:shd w:val="clear" w:color="auto" w:fill="auto"/>
            <w:vAlign w:val="center"/>
          </w:tcPr>
          <w:p>
            <w:pPr>
              <w:jc w:val="center"/>
            </w:pPr>
            <w:r>
              <w:t>Целевые субсидии</w:t>
            </w:r>
          </w:p>
        </w:tc>
      </w:tr>
      <w:tr>
        <w:trPr>
          <w:cantSplit/>
          <w:trHeight w:val="1286"/>
        </w:trPr>
        <w:tc>
          <w:tcPr>
            <w:tcW w:w="2709" w:type="dxa"/>
            <w:vMerge/>
            <w:vAlign w:val="center"/>
          </w:tcPr>
          <w:p/>
        </w:tc>
        <w:tc>
          <w:tcPr>
            <w:tcW w:w="1417" w:type="dxa"/>
            <w:shd w:val="clear" w:color="auto" w:fill="auto"/>
            <w:vAlign w:val="center"/>
          </w:tcPr>
          <w:p>
            <w:pPr>
              <w:ind w:left="-108" w:right="-108"/>
              <w:jc w:val="center"/>
            </w:pPr>
            <w:r>
              <w:t xml:space="preserve">Утверждено на 2019 год, тыс.руб. 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jc w:val="center"/>
            </w:pPr>
            <w:r>
              <w:t>Исполнено за 2019 год, тыс.руб.</w:t>
            </w:r>
          </w:p>
        </w:tc>
        <w:tc>
          <w:tcPr>
            <w:tcW w:w="723" w:type="dxa"/>
            <w:shd w:val="clear" w:color="auto" w:fill="auto"/>
            <w:textDirection w:val="btLr"/>
            <w:vAlign w:val="center"/>
          </w:tcPr>
          <w:p>
            <w:pPr>
              <w:ind w:left="113" w:right="113"/>
              <w:jc w:val="center"/>
            </w:pPr>
            <w:r>
              <w:t>Удельный вес статьи, %</w:t>
            </w:r>
          </w:p>
        </w:tc>
        <w:tc>
          <w:tcPr>
            <w:tcW w:w="1225" w:type="dxa"/>
            <w:shd w:val="clear" w:color="auto" w:fill="auto"/>
            <w:vAlign w:val="center"/>
          </w:tcPr>
          <w:p>
            <w:pPr>
              <w:ind w:left="-108" w:right="-108"/>
              <w:jc w:val="center"/>
            </w:pPr>
            <w:r>
              <w:t>Утверждено на 2019 год, тыс.руб.</w:t>
            </w:r>
          </w:p>
        </w:tc>
        <w:tc>
          <w:tcPr>
            <w:tcW w:w="1312" w:type="dxa"/>
            <w:shd w:val="clear" w:color="auto" w:fill="auto"/>
            <w:vAlign w:val="center"/>
          </w:tcPr>
          <w:p>
            <w:pPr>
              <w:jc w:val="center"/>
            </w:pPr>
            <w:r>
              <w:t>Исполнено за 2019 год, тыс.руб.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>
            <w:pPr>
              <w:ind w:left="113" w:right="113"/>
              <w:jc w:val="center"/>
            </w:pPr>
            <w:r>
              <w:t>Удельный вес статьи, %</w:t>
            </w:r>
          </w:p>
        </w:tc>
      </w:tr>
      <w:tr>
        <w:trPr>
          <w:trHeight w:val="300"/>
        </w:trPr>
        <w:tc>
          <w:tcPr>
            <w:tcW w:w="2709" w:type="dxa"/>
            <w:shd w:val="clear" w:color="auto" w:fill="auto"/>
            <w:noWrap/>
            <w:vAlign w:val="center"/>
          </w:tcPr>
          <w:p>
            <w:pPr>
              <w:rPr>
                <w:highlight w:val="yellow"/>
              </w:rPr>
            </w:pPr>
            <w:r>
              <w:t>Всего расходов, в т.ч.</w:t>
            </w:r>
          </w:p>
        </w:tc>
        <w:tc>
          <w:tcPr>
            <w:tcW w:w="1417" w:type="dxa"/>
            <w:shd w:val="clear" w:color="auto" w:fill="auto"/>
            <w:vAlign w:val="center"/>
          </w:tcPr>
          <w:p>
            <w:pPr>
              <w:jc w:val="right"/>
              <w:rPr>
                <w:sz w:val="24"/>
                <w:szCs w:val="24"/>
              </w:rPr>
            </w:pPr>
            <w:r>
              <w:t>2 550 129,89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jc w:val="right"/>
              <w:rPr>
                <w:bCs/>
                <w:highlight w:val="yellow"/>
              </w:rPr>
            </w:pPr>
            <w:r>
              <w:rPr>
                <w:bCs/>
              </w:rPr>
              <w:t>2 550 126,48</w:t>
            </w:r>
          </w:p>
        </w:tc>
        <w:tc>
          <w:tcPr>
            <w:tcW w:w="723" w:type="dxa"/>
            <w:shd w:val="clear" w:color="auto" w:fill="auto"/>
            <w:vAlign w:val="center"/>
          </w:tcPr>
          <w:p>
            <w:pPr>
              <w:ind w:left="-67" w:right="-108"/>
              <w:jc w:val="center"/>
            </w:pPr>
            <w:r>
              <w:t>100,0</w:t>
            </w:r>
          </w:p>
        </w:tc>
        <w:tc>
          <w:tcPr>
            <w:tcW w:w="1225" w:type="dxa"/>
            <w:shd w:val="clear" w:color="auto" w:fill="auto"/>
            <w:vAlign w:val="center"/>
          </w:tcPr>
          <w:p>
            <w:pPr>
              <w:jc w:val="right"/>
              <w:rPr>
                <w:highlight w:val="yellow"/>
              </w:rPr>
            </w:pPr>
            <w:r>
              <w:t>629 850,0</w:t>
            </w:r>
          </w:p>
        </w:tc>
        <w:tc>
          <w:tcPr>
            <w:tcW w:w="1312" w:type="dxa"/>
            <w:shd w:val="clear" w:color="auto" w:fill="auto"/>
            <w:vAlign w:val="center"/>
          </w:tcPr>
          <w:p>
            <w:pPr>
              <w:jc w:val="right"/>
              <w:rPr>
                <w:highlight w:val="yellow"/>
              </w:rPr>
            </w:pPr>
            <w:r>
              <w:t>623 836,22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ind w:left="-102" w:right="-108"/>
              <w:jc w:val="center"/>
            </w:pPr>
            <w:r>
              <w:t>100,0</w:t>
            </w:r>
          </w:p>
        </w:tc>
      </w:tr>
      <w:tr>
        <w:trPr>
          <w:trHeight w:val="300"/>
        </w:trPr>
        <w:tc>
          <w:tcPr>
            <w:tcW w:w="2709" w:type="dxa"/>
            <w:shd w:val="clear" w:color="auto" w:fill="auto"/>
            <w:noWrap/>
            <w:vAlign w:val="center"/>
          </w:tcPr>
          <w:p>
            <w:pPr>
              <w:ind w:left="-93" w:right="-108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</w:t>
            </w:r>
            <w:r>
              <w:rPr>
                <w:sz w:val="22"/>
                <w:szCs w:val="22"/>
              </w:rPr>
              <w:t>Оплата труда и</w:t>
            </w:r>
          </w:p>
          <w:p>
            <w:pPr>
              <w:ind w:left="-93"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  </w:t>
            </w:r>
            <w:r>
              <w:rPr>
                <w:sz w:val="22"/>
                <w:szCs w:val="22"/>
              </w:rPr>
              <w:t>начисления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>
            <w:pPr>
              <w:jc w:val="right"/>
              <w:rPr>
                <w:sz w:val="24"/>
                <w:szCs w:val="24"/>
              </w:rPr>
            </w:pPr>
            <w:r>
              <w:t>1 998 073,68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>
            <w:pPr>
              <w:jc w:val="right"/>
              <w:rPr>
                <w:sz w:val="24"/>
                <w:szCs w:val="24"/>
              </w:rPr>
            </w:pPr>
            <w:r>
              <w:t>1 998 073,68</w:t>
            </w:r>
          </w:p>
        </w:tc>
        <w:tc>
          <w:tcPr>
            <w:tcW w:w="723" w:type="dxa"/>
            <w:shd w:val="clear" w:color="auto" w:fill="auto"/>
            <w:noWrap/>
            <w:vAlign w:val="center"/>
          </w:tcPr>
          <w:p>
            <w:pPr>
              <w:jc w:val="center"/>
            </w:pPr>
            <w:r>
              <w:t>78,3</w:t>
            </w:r>
          </w:p>
        </w:tc>
        <w:tc>
          <w:tcPr>
            <w:tcW w:w="1225" w:type="dxa"/>
            <w:shd w:val="clear" w:color="auto" w:fill="auto"/>
            <w:noWrap/>
            <w:vAlign w:val="center"/>
          </w:tcPr>
          <w:p>
            <w:pPr>
              <w:jc w:val="right"/>
              <w:rPr>
                <w:highlight w:val="yellow"/>
              </w:rPr>
            </w:pPr>
            <w:r>
              <w:t>460 800,53</w:t>
            </w:r>
          </w:p>
        </w:tc>
        <w:tc>
          <w:tcPr>
            <w:tcW w:w="1312" w:type="dxa"/>
            <w:shd w:val="clear" w:color="auto" w:fill="auto"/>
            <w:noWrap/>
            <w:vAlign w:val="center"/>
          </w:tcPr>
          <w:p>
            <w:pPr>
              <w:jc w:val="right"/>
            </w:pPr>
            <w:r>
              <w:t>460 044,59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>
            <w:pPr>
              <w:jc w:val="center"/>
            </w:pPr>
            <w:r>
              <w:t>73,7</w:t>
            </w:r>
          </w:p>
        </w:tc>
      </w:tr>
      <w:tr>
        <w:trPr>
          <w:trHeight w:val="300"/>
        </w:trPr>
        <w:tc>
          <w:tcPr>
            <w:tcW w:w="2709" w:type="dxa"/>
            <w:shd w:val="clear" w:color="auto" w:fill="auto"/>
            <w:noWrap/>
            <w:vAlign w:val="center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Оплата коммунальных услуг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>
            <w:pPr>
              <w:jc w:val="right"/>
              <w:rPr>
                <w:sz w:val="24"/>
                <w:szCs w:val="24"/>
              </w:rPr>
            </w:pPr>
            <w:r>
              <w:t>198 336,04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>
            <w:pPr>
              <w:jc w:val="right"/>
              <w:rPr>
                <w:sz w:val="24"/>
                <w:szCs w:val="24"/>
              </w:rPr>
            </w:pPr>
            <w:r>
              <w:t>198 332,63</w:t>
            </w:r>
          </w:p>
        </w:tc>
        <w:tc>
          <w:tcPr>
            <w:tcW w:w="723" w:type="dxa"/>
            <w:shd w:val="clear" w:color="auto" w:fill="auto"/>
            <w:noWrap/>
            <w:vAlign w:val="center"/>
          </w:tcPr>
          <w:p>
            <w:pPr>
              <w:jc w:val="center"/>
            </w:pPr>
            <w:r>
              <w:t>7,8</w:t>
            </w:r>
          </w:p>
        </w:tc>
        <w:tc>
          <w:tcPr>
            <w:tcW w:w="1225" w:type="dxa"/>
            <w:shd w:val="clear" w:color="auto" w:fill="auto"/>
            <w:noWrap/>
            <w:vAlign w:val="center"/>
          </w:tcPr>
          <w:p>
            <w:pPr>
              <w:jc w:val="right"/>
              <w:rPr>
                <w:highlight w:val="yellow"/>
              </w:rPr>
            </w:pPr>
            <w:r>
              <w:t>3 692,34</w:t>
            </w:r>
          </w:p>
        </w:tc>
        <w:tc>
          <w:tcPr>
            <w:tcW w:w="1312" w:type="dxa"/>
            <w:shd w:val="clear" w:color="auto" w:fill="auto"/>
            <w:noWrap/>
            <w:vAlign w:val="center"/>
          </w:tcPr>
          <w:p>
            <w:pPr>
              <w:jc w:val="right"/>
            </w:pPr>
            <w:r>
              <w:t>3 328,17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>
            <w:pPr>
              <w:jc w:val="center"/>
            </w:pPr>
            <w:r>
              <w:t>0,6</w:t>
            </w:r>
          </w:p>
        </w:tc>
      </w:tr>
      <w:tr>
        <w:trPr>
          <w:trHeight w:val="300"/>
        </w:trPr>
        <w:tc>
          <w:tcPr>
            <w:tcW w:w="2709" w:type="dxa"/>
            <w:shd w:val="clear" w:color="auto" w:fill="auto"/>
            <w:noWrap/>
            <w:vAlign w:val="center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Приобретение оборудования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>
            <w:pPr>
              <w:jc w:val="right"/>
              <w:rPr>
                <w:sz w:val="24"/>
                <w:szCs w:val="24"/>
              </w:rPr>
            </w:pPr>
            <w:r>
              <w:t>11 759,17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>
            <w:pPr>
              <w:jc w:val="right"/>
              <w:rPr>
                <w:sz w:val="24"/>
                <w:szCs w:val="24"/>
              </w:rPr>
            </w:pPr>
            <w:r>
              <w:t>11 759,17</w:t>
            </w:r>
          </w:p>
        </w:tc>
        <w:tc>
          <w:tcPr>
            <w:tcW w:w="723" w:type="dxa"/>
            <w:shd w:val="clear" w:color="auto" w:fill="auto"/>
            <w:noWrap/>
            <w:vAlign w:val="center"/>
          </w:tcPr>
          <w:p>
            <w:pPr>
              <w:jc w:val="center"/>
            </w:pPr>
            <w:r>
              <w:t>0,5</w:t>
            </w:r>
          </w:p>
        </w:tc>
        <w:tc>
          <w:tcPr>
            <w:tcW w:w="1225" w:type="dxa"/>
            <w:shd w:val="clear" w:color="auto" w:fill="auto"/>
            <w:noWrap/>
            <w:vAlign w:val="center"/>
          </w:tcPr>
          <w:p>
            <w:pPr>
              <w:jc w:val="right"/>
            </w:pPr>
            <w:r>
              <w:t>38 941,59</w:t>
            </w:r>
          </w:p>
        </w:tc>
        <w:tc>
          <w:tcPr>
            <w:tcW w:w="1312" w:type="dxa"/>
            <w:shd w:val="clear" w:color="auto" w:fill="auto"/>
            <w:noWrap/>
            <w:vAlign w:val="center"/>
          </w:tcPr>
          <w:p>
            <w:pPr>
              <w:jc w:val="right"/>
            </w:pPr>
            <w:r>
              <w:t>38 937,01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>
            <w:pPr>
              <w:jc w:val="center"/>
            </w:pPr>
            <w:r>
              <w:t>6,2</w:t>
            </w:r>
          </w:p>
        </w:tc>
      </w:tr>
      <w:tr>
        <w:trPr>
          <w:trHeight w:val="315"/>
        </w:trPr>
        <w:tc>
          <w:tcPr>
            <w:tcW w:w="2709" w:type="dxa"/>
            <w:shd w:val="clear" w:color="auto" w:fill="auto"/>
            <w:noWrap/>
            <w:vAlign w:val="center"/>
          </w:tcPr>
          <w:p>
            <w:pPr>
              <w:ind w:left="-93"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Прочие расходы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>
            <w:pPr>
              <w:jc w:val="right"/>
              <w:rPr>
                <w:highlight w:val="yellow"/>
              </w:rPr>
            </w:pPr>
            <w:r>
              <w:t>341 961,0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>
            <w:pPr>
              <w:jc w:val="right"/>
              <w:rPr>
                <w:highlight w:val="yellow"/>
              </w:rPr>
            </w:pPr>
            <w:r>
              <w:t>341 961,0</w:t>
            </w:r>
          </w:p>
        </w:tc>
        <w:tc>
          <w:tcPr>
            <w:tcW w:w="723" w:type="dxa"/>
            <w:shd w:val="clear" w:color="auto" w:fill="auto"/>
            <w:noWrap/>
            <w:vAlign w:val="center"/>
          </w:tcPr>
          <w:p>
            <w:pPr>
              <w:jc w:val="center"/>
            </w:pPr>
            <w:r>
              <w:t>13,4</w:t>
            </w:r>
          </w:p>
        </w:tc>
        <w:tc>
          <w:tcPr>
            <w:tcW w:w="1225" w:type="dxa"/>
            <w:shd w:val="clear" w:color="auto" w:fill="auto"/>
            <w:noWrap/>
            <w:vAlign w:val="center"/>
          </w:tcPr>
          <w:p>
            <w:pPr>
              <w:jc w:val="right"/>
              <w:rPr>
                <w:highlight w:val="yellow"/>
              </w:rPr>
            </w:pPr>
            <w:r>
              <w:t>126 415,54</w:t>
            </w:r>
          </w:p>
        </w:tc>
        <w:tc>
          <w:tcPr>
            <w:tcW w:w="1312" w:type="dxa"/>
            <w:shd w:val="clear" w:color="auto" w:fill="auto"/>
            <w:noWrap/>
            <w:vAlign w:val="center"/>
          </w:tcPr>
          <w:p>
            <w:pPr>
              <w:jc w:val="right"/>
            </w:pPr>
            <w:r>
              <w:t>121 526,45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>
            <w:pPr>
              <w:jc w:val="center"/>
            </w:pPr>
            <w:r>
              <w:t>19,5</w:t>
            </w:r>
          </w:p>
        </w:tc>
      </w:tr>
    </w:tbl>
    <w:p>
      <w:pPr>
        <w:pStyle w:val="a5"/>
        <w:spacing w:after="0"/>
        <w:ind w:firstLine="703"/>
        <w:jc w:val="both"/>
        <w:rPr>
          <w:sz w:val="16"/>
          <w:szCs w:val="16"/>
          <w:highlight w:val="yellow"/>
        </w:rPr>
      </w:pPr>
    </w:p>
    <w:p>
      <w:pPr>
        <w:pStyle w:val="a5"/>
        <w:spacing w:after="0"/>
        <w:ind w:firstLine="703"/>
        <w:jc w:val="both"/>
        <w:rPr>
          <w:sz w:val="24"/>
          <w:szCs w:val="24"/>
        </w:rPr>
      </w:pPr>
      <w:r>
        <w:rPr>
          <w:sz w:val="24"/>
          <w:szCs w:val="24"/>
        </w:rPr>
        <w:t>Наибольший удельный вес в структуре расходов, осуществляемых учреждениями за счет средств субсидий на муниципальные задания, занимают расходы на оплату труда – 78,3%, соответственно, 21,7 % расходуется на оплату коммунальных услуг, уплату налогов, организацию питания и иных расходов для обеспечения текущей деятельности учреждений.</w:t>
      </w:r>
    </w:p>
    <w:p>
      <w:pPr>
        <w:pStyle w:val="a5"/>
        <w:spacing w:after="0"/>
        <w:ind w:firstLine="703"/>
        <w:jc w:val="both"/>
        <w:rPr>
          <w:color w:val="000000" w:themeColor="text1"/>
          <w:sz w:val="24"/>
          <w:szCs w:val="24"/>
          <w:highlight w:val="yellow"/>
        </w:rPr>
      </w:pPr>
      <w:r>
        <w:rPr>
          <w:color w:val="000000" w:themeColor="text1"/>
          <w:sz w:val="24"/>
          <w:szCs w:val="24"/>
        </w:rPr>
        <w:t xml:space="preserve">В сравнении с 2018 годом расходы, </w:t>
      </w:r>
      <w:r>
        <w:rPr>
          <w:sz w:val="24"/>
          <w:szCs w:val="24"/>
        </w:rPr>
        <w:t>на финансовое обеспечение муниципальных заданий</w:t>
      </w:r>
      <w:r>
        <w:rPr>
          <w:color w:val="000000" w:themeColor="text1"/>
          <w:sz w:val="24"/>
          <w:szCs w:val="24"/>
        </w:rPr>
        <w:t xml:space="preserve"> в 2019 году, увеличились на 42 600,84 тыс.руб.  </w:t>
      </w:r>
    </w:p>
    <w:p>
      <w:pPr>
        <w:pStyle w:val="a5"/>
        <w:spacing w:after="0"/>
        <w:ind w:firstLine="703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С июля 2019 года согласно Постановления Администрации ЗАТО Северск от 04.07.2019 № 1400 МБУ ЗАТО Северск «КШП» находится в стадии ликвидации.</w:t>
      </w:r>
    </w:p>
    <w:p>
      <w:pPr>
        <w:pStyle w:val="a5"/>
        <w:spacing w:after="0"/>
        <w:ind w:firstLine="703"/>
        <w:jc w:val="both"/>
        <w:rPr>
          <w:sz w:val="24"/>
          <w:szCs w:val="24"/>
        </w:rPr>
      </w:pPr>
      <w:r>
        <w:rPr>
          <w:sz w:val="24"/>
          <w:szCs w:val="24"/>
        </w:rPr>
        <w:t>По результатам исполнения планов финансово-хозяйственной деятельности на 01.01.2020 на счетах учреждений образованы остатки, по субсидиям на выполнение муниципальных заданий, в объеме 40 121,29 тыс.руб.</w:t>
      </w:r>
    </w:p>
    <w:p>
      <w:pPr>
        <w:pStyle w:val="a5"/>
        <w:spacing w:after="0"/>
        <w:ind w:firstLine="703"/>
        <w:jc w:val="both"/>
        <w:rPr>
          <w:sz w:val="24"/>
          <w:szCs w:val="24"/>
        </w:rPr>
      </w:pPr>
      <w:r>
        <w:rPr>
          <w:sz w:val="24"/>
          <w:szCs w:val="24"/>
        </w:rPr>
        <w:t>МБОУ «Детский сад № 7, № 17, №25, №37»,  по итогам предварительного отчета за 10 месяцев 2019 года допущено невыполнение муниципального задания в натуральных показателях свыше максимально возможного уровня. В соответствии с порядком</w:t>
      </w:r>
      <w:r>
        <w:rPr>
          <w:color w:val="000000"/>
          <w:sz w:val="24"/>
          <w:szCs w:val="24"/>
        </w:rPr>
        <w:t xml:space="preserve"> формирования муниципального задания на оказание муниципальных</w:t>
      </w:r>
      <w:r>
        <w:rPr>
          <w:sz w:val="24"/>
          <w:szCs w:val="24"/>
        </w:rPr>
        <w:t xml:space="preserve"> услуг (выполнение работ) в отношении муниципальных учреждений и финансового обеспечения выполнения муниципального задания, утвержденным постановлением Администрации ЗАТО Северск от 02.11.2015 № 2457, этими учреждениями осуществлен возврат средств в бюджет ЗАТО Северск в 2019 году в сумме 2 745,38 тыс.руб.</w:t>
      </w:r>
    </w:p>
    <w:p>
      <w:pPr>
        <w:pStyle w:val="a5"/>
        <w:spacing w:after="0"/>
        <w:ind w:firstLine="703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По итогам 2019 года 7 МБОУ СОШ допущено невыполнение муниципального задания в натуральных показателях свыше максимально возможного уровня. В соответствии с порядком формирования муниципального задания на оказание муниципальных услуг (выполнение работ) в отношении муниципальных учреждений и финансового обеспечения выполнения муниципального задания, утвержденным постановлением Администрации ЗАТО Северск от 02.11.2015 № 2457, этими учреждениями будет осуществлен возврат средств в бюджет ЗАТО Северск в 2020 году.</w:t>
      </w:r>
    </w:p>
    <w:p>
      <w:pPr>
        <w:pStyle w:val="a5"/>
        <w:spacing w:before="120" w:after="0"/>
        <w:ind w:firstLine="703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В структуре расходов средств субсидий на муниципальные задания наибольшую долю занимают учреждения дошкольного образования и общеобразовательные учреждения (36 % и 34 % соответственно).</w:t>
      </w:r>
    </w:p>
    <w:p>
      <w:pPr>
        <w:pStyle w:val="a5"/>
        <w:spacing w:after="0"/>
        <w:jc w:val="center"/>
        <w:rPr>
          <w:noProof/>
          <w:sz w:val="24"/>
          <w:szCs w:val="24"/>
        </w:rPr>
      </w:pPr>
    </w:p>
    <w:p>
      <w:pPr>
        <w:pStyle w:val="a5"/>
        <w:spacing w:after="0"/>
        <w:jc w:val="center"/>
        <w:rPr>
          <w:noProof/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823585" cy="3616411"/>
            <wp:effectExtent l="0" t="0" r="0" b="0"/>
            <wp:docPr id="18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>
      <w:pPr>
        <w:pStyle w:val="a5"/>
        <w:spacing w:after="0"/>
        <w:rPr>
          <w:noProof/>
          <w:sz w:val="16"/>
          <w:szCs w:val="16"/>
        </w:rPr>
      </w:pPr>
    </w:p>
    <w:p>
      <w:pPr>
        <w:pStyle w:val="a5"/>
        <w:spacing w:after="0"/>
        <w:jc w:val="center"/>
        <w:rPr>
          <w:noProof/>
          <w:sz w:val="24"/>
          <w:szCs w:val="24"/>
        </w:rPr>
      </w:pPr>
      <w:r>
        <w:rPr>
          <w:noProof/>
          <w:sz w:val="24"/>
          <w:szCs w:val="24"/>
        </w:rPr>
        <w:t xml:space="preserve"> Рисунок 11. Структура расходов на финансовое обеспечение</w:t>
      </w:r>
    </w:p>
    <w:p>
      <w:pPr>
        <w:shd w:val="clear" w:color="auto" w:fill="FFFFFF"/>
        <w:spacing w:before="5"/>
        <w:ind w:right="10"/>
        <w:jc w:val="center"/>
        <w:rPr>
          <w:noProof/>
          <w:sz w:val="24"/>
          <w:szCs w:val="24"/>
        </w:rPr>
      </w:pPr>
      <w:r>
        <w:rPr>
          <w:noProof/>
          <w:sz w:val="24"/>
          <w:szCs w:val="24"/>
        </w:rPr>
        <w:t>муниципальных заданий по типам учреждений</w:t>
      </w:r>
    </w:p>
    <w:p>
      <w:pPr>
        <w:spacing w:after="120"/>
        <w:ind w:right="57"/>
        <w:jc w:val="center"/>
        <w:rPr>
          <w:b/>
          <w:sz w:val="24"/>
          <w:szCs w:val="24"/>
        </w:rPr>
      </w:pPr>
    </w:p>
    <w:p>
      <w:pPr>
        <w:spacing w:after="120"/>
        <w:ind w:right="5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4.1.3. Информация об исполнении дорожного фонда ЗАТО Северск</w:t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Плановый годовой объем доходов дорожного фонда на 2019 год составлял                 136 535,84 тыс. руб. Исполнение за 2019 год составило 136 358,18 тыс. руб. или 99,9% от годового прогноза. </w:t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Плановый годовой объем бюджетных ассигнований дорожного фонда предусмотрен в сумме 365 326,58 тыс.руб. Исполнение дорожного фонда составило 362 309,51 тыс. руб. или 99,2% от годового плана. </w:t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Основные направления расходования бюджетных ассигнований по реализации мероприятий: </w:t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  ведомственной целевой программы «Организация мероприятий по текущему содержанию и ремонту объектов улично-дорожной сети и внешнего благоустройства» в сумме 21 500,37 тыс.руб.;</w:t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 ведомственной целевой программы «Капитальный ремонт и ремонт объектов улично-дорожной сети» (подпрограмма «Улучшение качественного состояния объектов улично-дорожной сети») в сумме 30 036,51 тыс. руб.;</w:t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по участию в региональном проекте «Дорожная сеть» в сумме 159 999,99 тыс.руб.;</w:t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 подпрограммы «Организация гостевых стоянок автотранспорта и расширение внутриквартальных проездов на внутридворовых территориях г.Северска» в сумме 50,00 тыс.руб.;</w:t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 ведомственной целевой программы «Содержание и ремонт улично-дорожной сети внегородских территорий ЗАТО Северск» в сумме 9 096,69 тыс.руб.;</w:t>
      </w:r>
    </w:p>
    <w:p>
      <w:pPr>
        <w:ind w:firstLine="709"/>
        <w:jc w:val="both"/>
        <w:rPr>
          <w:highlight w:val="yellow"/>
        </w:rPr>
      </w:pPr>
      <w:r>
        <w:rPr>
          <w:sz w:val="24"/>
          <w:szCs w:val="24"/>
        </w:rPr>
        <w:t>- подпрограммы «Повышение безопасности дорожного движения на территории ЗАТО Северск» в сумме 16 840,99 тыс. руб.;</w:t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- ведомственной целевой программы «Организация уличного освещения и текущего содержания электрооборудования объектов благоустройства и объектов дорожного обустройства ЗАТО Северск» МБЭУ в сумме 1 725,46 тыс.руб.;</w:t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ведомственной целевой программы «Организация мероприятий по текущему содержанию и ремонту объектов улично-дорожной сети и внешнего благоустройства» МБЭУ в сумме 123 059,50 тыс. руб.</w:t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Дефицит средств дорожного фонда восполнялся за счет доходов бюджета ЗАТО Северск, получаемых в виде налоговых и неналоговых поступлений и сумм дотаций. </w:t>
      </w:r>
    </w:p>
    <w:p>
      <w:pPr>
        <w:ind w:right="57" w:firstLine="709"/>
        <w:jc w:val="center"/>
        <w:rPr>
          <w:b/>
          <w:bCs/>
          <w:sz w:val="24"/>
          <w:szCs w:val="24"/>
          <w:highlight w:val="yellow"/>
        </w:rPr>
      </w:pPr>
    </w:p>
    <w:p>
      <w:pPr>
        <w:ind w:right="55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4.1.4. Информация по резервным фондам Администрации ЗАТО Северск</w:t>
      </w:r>
    </w:p>
    <w:p>
      <w:pPr>
        <w:tabs>
          <w:tab w:val="left" w:pos="5529"/>
        </w:tabs>
        <w:spacing w:before="12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Общий объем утвержденных резервных фондов Администрации ЗАТО Северск составляет 2 980,57 тыс. руб., в том числе:</w:t>
      </w:r>
    </w:p>
    <w:p>
      <w:pPr>
        <w:tabs>
          <w:tab w:val="left" w:pos="5529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 резервный фонд Администрации ЗАТО Северск по предупреждению, ликвидации чрезвычайных ситуаций и последствий стихийных бедствий - 225,57 тыс. руб.</w:t>
      </w:r>
    </w:p>
    <w:p>
      <w:pPr>
        <w:tabs>
          <w:tab w:val="left" w:pos="5529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 фонд непредвиденных расходов Администрации ЗАТО Северск – 2 755,0 тыс. руб.</w:t>
      </w:r>
    </w:p>
    <w:p>
      <w:pPr>
        <w:tabs>
          <w:tab w:val="left" w:pos="5529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Удельный вес резервных фондов Администрации ЗАТО Северск в общем объеме расходов бюджета ЗАТО Северск составляет 0,1%.</w:t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Исполнение расходов за счет средств ФНР составило 2 383,86 тыс. руб. средства были направлены на выплату однократного единовременного поощрения в связи с прекращением муниципальной службы (выходом на пенсию).</w:t>
      </w:r>
    </w:p>
    <w:p>
      <w:pPr>
        <w:ind w:firstLine="709"/>
        <w:jc w:val="center"/>
        <w:rPr>
          <w:sz w:val="24"/>
          <w:szCs w:val="24"/>
        </w:rPr>
      </w:pPr>
    </w:p>
    <w:p>
      <w:pPr>
        <w:spacing w:after="120"/>
        <w:ind w:firstLine="709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4.1.5. Информация об исполнении программ</w:t>
      </w:r>
    </w:p>
    <w:p>
      <w:pPr>
        <w:widowControl w:val="0"/>
        <w:ind w:right="57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В 2019 году бюджет ЗАТО Северск исполнялся по программно-целевому методу, программные расходы на реализацию 18 программ при плане </w:t>
      </w:r>
      <w:r>
        <w:rPr>
          <w:sz w:val="24"/>
          <w:szCs w:val="24"/>
        </w:rPr>
        <w:t xml:space="preserve">4 343 895,41 </w:t>
      </w:r>
      <w:r>
        <w:rPr>
          <w:bCs/>
          <w:sz w:val="24"/>
          <w:szCs w:val="24"/>
        </w:rPr>
        <w:t xml:space="preserve">тыс.руб. составили </w:t>
      </w:r>
      <w:r>
        <w:rPr>
          <w:sz w:val="24"/>
          <w:szCs w:val="24"/>
        </w:rPr>
        <w:t xml:space="preserve">4 308 667,98 </w:t>
      </w:r>
      <w:r>
        <w:rPr>
          <w:bCs/>
          <w:sz w:val="24"/>
          <w:szCs w:val="24"/>
        </w:rPr>
        <w:t>тыс.руб. или 99,2% к плану года.</w:t>
      </w:r>
    </w:p>
    <w:p>
      <w:pPr>
        <w:spacing w:before="60" w:after="60"/>
        <w:ind w:right="57" w:firstLine="709"/>
        <w:rPr>
          <w:bCs/>
          <w:sz w:val="24"/>
          <w:szCs w:val="24"/>
        </w:rPr>
      </w:pPr>
      <w:r>
        <w:rPr>
          <w:bCs/>
          <w:sz w:val="24"/>
          <w:szCs w:val="24"/>
        </w:rPr>
        <w:t>Таблица 43. Анализ расходов в разрезе программ</w:t>
      </w:r>
    </w:p>
    <w:tbl>
      <w:tblPr>
        <w:tblW w:w="937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2"/>
        <w:gridCol w:w="4678"/>
        <w:gridCol w:w="1275"/>
        <w:gridCol w:w="1277"/>
        <w:gridCol w:w="850"/>
        <w:gridCol w:w="708"/>
      </w:tblGrid>
      <w:tr>
        <w:trPr>
          <w:trHeight w:val="804"/>
        </w:trPr>
        <w:tc>
          <w:tcPr>
            <w:tcW w:w="582" w:type="dxa"/>
            <w:vAlign w:val="center"/>
          </w:tcPr>
          <w:p>
            <w:pPr>
              <w:jc w:val="center"/>
            </w:pPr>
            <w:r>
              <w:t>№ п/п</w:t>
            </w:r>
          </w:p>
        </w:tc>
        <w:tc>
          <w:tcPr>
            <w:tcW w:w="4678" w:type="dxa"/>
            <w:shd w:val="clear" w:color="auto" w:fill="auto"/>
            <w:vAlign w:val="center"/>
          </w:tcPr>
          <w:p>
            <w:pPr>
              <w:jc w:val="center"/>
            </w:pPr>
            <w:r>
              <w:t>Наименование программы</w:t>
            </w:r>
          </w:p>
        </w:tc>
        <w:tc>
          <w:tcPr>
            <w:tcW w:w="1275" w:type="dxa"/>
            <w:shd w:val="clear" w:color="auto" w:fill="auto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Уточненный план</w:t>
            </w:r>
            <w:r>
              <w:rPr>
                <w:sz w:val="18"/>
                <w:szCs w:val="18"/>
              </w:rPr>
              <w:br/>
              <w:t>2019 г., тыс.руб.</w:t>
            </w:r>
          </w:p>
        </w:tc>
        <w:tc>
          <w:tcPr>
            <w:tcW w:w="1277" w:type="dxa"/>
            <w:shd w:val="clear" w:color="auto" w:fill="auto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Исполнено</w:t>
            </w:r>
          </w:p>
          <w:p>
            <w:pPr>
              <w:ind w:right="-4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 2019 г., тыс</w:t>
            </w:r>
            <w:proofErr w:type="gramStart"/>
            <w:r>
              <w:rPr>
                <w:sz w:val="18"/>
                <w:szCs w:val="18"/>
              </w:rPr>
              <w:t>.р</w:t>
            </w:r>
            <w:proofErr w:type="gramEnd"/>
            <w:r>
              <w:rPr>
                <w:sz w:val="18"/>
                <w:szCs w:val="18"/>
              </w:rPr>
              <w:t>уб.</w:t>
            </w:r>
          </w:p>
        </w:tc>
        <w:tc>
          <w:tcPr>
            <w:tcW w:w="850" w:type="dxa"/>
            <w:shd w:val="clear" w:color="auto" w:fill="auto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Испол-нение</w:t>
            </w:r>
            <w:proofErr w:type="spellEnd"/>
            <w:proofErr w:type="gramEnd"/>
            <w:r>
              <w:rPr>
                <w:sz w:val="18"/>
                <w:szCs w:val="18"/>
              </w:rPr>
              <w:t>, %</w:t>
            </w:r>
          </w:p>
        </w:tc>
        <w:tc>
          <w:tcPr>
            <w:tcW w:w="708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Уд</w:t>
            </w:r>
            <w:proofErr w:type="gramStart"/>
            <w:r>
              <w:rPr>
                <w:sz w:val="18"/>
                <w:szCs w:val="18"/>
              </w:rPr>
              <w:t>.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>в</w:t>
            </w:r>
            <w:proofErr w:type="gramEnd"/>
            <w:r>
              <w:rPr>
                <w:sz w:val="18"/>
                <w:szCs w:val="18"/>
              </w:rPr>
              <w:t>ес,</w:t>
            </w:r>
          </w:p>
          <w:p>
            <w:pPr>
              <w:ind w:right="-109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%</w:t>
            </w:r>
          </w:p>
        </w:tc>
      </w:tr>
      <w:tr>
        <w:trPr>
          <w:trHeight w:val="255"/>
        </w:trPr>
        <w:tc>
          <w:tcPr>
            <w:tcW w:w="582" w:type="dxa"/>
            <w:vAlign w:val="center"/>
          </w:tcPr>
          <w:p>
            <w:pPr>
              <w:ind w:left="-108" w:right="-10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678" w:type="dxa"/>
            <w:shd w:val="clear" w:color="auto" w:fill="auto"/>
            <w:vAlign w:val="center"/>
          </w:tcPr>
          <w:p>
            <w:pPr>
              <w:ind w:left="34" w:right="-10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708" w:type="dxa"/>
            <w:vAlign w:val="center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</w:tr>
      <w:tr>
        <w:trPr>
          <w:trHeight w:val="255"/>
        </w:trPr>
        <w:tc>
          <w:tcPr>
            <w:tcW w:w="582" w:type="dxa"/>
          </w:tcPr>
          <w:p>
            <w:pPr>
              <w:ind w:left="-108" w:right="-108"/>
              <w:jc w:val="center"/>
            </w:pPr>
            <w:r>
              <w:t>1.</w:t>
            </w:r>
          </w:p>
        </w:tc>
        <w:tc>
          <w:tcPr>
            <w:tcW w:w="4678" w:type="dxa"/>
            <w:shd w:val="clear" w:color="auto" w:fill="auto"/>
            <w:vAlign w:val="center"/>
          </w:tcPr>
          <w:p>
            <w:pPr>
              <w:ind w:left="34" w:right="-108"/>
            </w:pPr>
            <w:r>
              <w:t xml:space="preserve">МП </w:t>
            </w:r>
            <w:r>
              <w:rPr>
                <w:bCs/>
              </w:rPr>
              <w:t>«Развитие предпринимательства в ЗАТО Северск»</w:t>
            </w:r>
          </w:p>
        </w:tc>
        <w:tc>
          <w:tcPr>
            <w:tcW w:w="1275" w:type="dxa"/>
            <w:shd w:val="clear" w:color="auto" w:fill="auto"/>
            <w:noWrap/>
            <w:vAlign w:val="bottom"/>
          </w:tcPr>
          <w:p>
            <w:pPr>
              <w:jc w:val="right"/>
              <w:rPr>
                <w:sz w:val="24"/>
                <w:szCs w:val="24"/>
              </w:rPr>
            </w:pPr>
            <w:r>
              <w:t>30 576,39</w:t>
            </w:r>
          </w:p>
        </w:tc>
        <w:tc>
          <w:tcPr>
            <w:tcW w:w="1277" w:type="dxa"/>
            <w:shd w:val="clear" w:color="auto" w:fill="auto"/>
            <w:noWrap/>
            <w:vAlign w:val="bottom"/>
          </w:tcPr>
          <w:p>
            <w:pPr>
              <w:jc w:val="right"/>
              <w:rPr>
                <w:sz w:val="24"/>
                <w:szCs w:val="24"/>
              </w:rPr>
            </w:pPr>
            <w:r>
              <w:t>23 868,78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>
            <w:pPr>
              <w:jc w:val="right"/>
              <w:rPr>
                <w:sz w:val="24"/>
                <w:szCs w:val="24"/>
              </w:rPr>
            </w:pPr>
            <w:r>
              <w:t>78,1</w:t>
            </w:r>
          </w:p>
        </w:tc>
        <w:tc>
          <w:tcPr>
            <w:tcW w:w="708" w:type="dxa"/>
            <w:vAlign w:val="bottom"/>
          </w:tcPr>
          <w:p>
            <w:pPr>
              <w:jc w:val="right"/>
              <w:rPr>
                <w:sz w:val="24"/>
                <w:szCs w:val="24"/>
              </w:rPr>
            </w:pPr>
            <w:r>
              <w:t>0,6</w:t>
            </w:r>
          </w:p>
        </w:tc>
      </w:tr>
      <w:tr>
        <w:trPr>
          <w:trHeight w:val="199"/>
        </w:trPr>
        <w:tc>
          <w:tcPr>
            <w:tcW w:w="582" w:type="dxa"/>
          </w:tcPr>
          <w:p>
            <w:pPr>
              <w:ind w:left="-108" w:right="-108"/>
              <w:jc w:val="center"/>
            </w:pPr>
            <w:r>
              <w:t>2.</w:t>
            </w:r>
          </w:p>
        </w:tc>
        <w:tc>
          <w:tcPr>
            <w:tcW w:w="4678" w:type="dxa"/>
            <w:shd w:val="clear" w:color="auto" w:fill="auto"/>
            <w:vAlign w:val="center"/>
          </w:tcPr>
          <w:p>
            <w:pPr>
              <w:ind w:left="34" w:right="-108"/>
            </w:pPr>
            <w:r>
              <w:t xml:space="preserve">МП </w:t>
            </w:r>
            <w:r>
              <w:rPr>
                <w:bCs/>
              </w:rPr>
              <w:t>«Развитие физической культуры и спорта в ЗАТО Северск»</w:t>
            </w:r>
          </w:p>
        </w:tc>
        <w:tc>
          <w:tcPr>
            <w:tcW w:w="1275" w:type="dxa"/>
            <w:shd w:val="clear" w:color="auto" w:fill="auto"/>
            <w:noWrap/>
            <w:vAlign w:val="bottom"/>
          </w:tcPr>
          <w:p>
            <w:pPr>
              <w:jc w:val="right"/>
              <w:rPr>
                <w:sz w:val="24"/>
                <w:szCs w:val="24"/>
              </w:rPr>
            </w:pPr>
            <w:r>
              <w:t>340 024,62</w:t>
            </w:r>
          </w:p>
        </w:tc>
        <w:tc>
          <w:tcPr>
            <w:tcW w:w="1277" w:type="dxa"/>
            <w:shd w:val="clear" w:color="auto" w:fill="auto"/>
            <w:noWrap/>
            <w:vAlign w:val="bottom"/>
          </w:tcPr>
          <w:p>
            <w:pPr>
              <w:jc w:val="right"/>
              <w:rPr>
                <w:sz w:val="24"/>
                <w:szCs w:val="24"/>
              </w:rPr>
            </w:pPr>
            <w:r>
              <w:t>340 024,50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>
            <w:pPr>
              <w:jc w:val="right"/>
              <w:rPr>
                <w:sz w:val="24"/>
                <w:szCs w:val="24"/>
              </w:rPr>
            </w:pPr>
            <w:r>
              <w:t>100,0</w:t>
            </w:r>
          </w:p>
        </w:tc>
        <w:tc>
          <w:tcPr>
            <w:tcW w:w="708" w:type="dxa"/>
            <w:vAlign w:val="bottom"/>
          </w:tcPr>
          <w:p>
            <w:pPr>
              <w:jc w:val="right"/>
              <w:rPr>
                <w:sz w:val="24"/>
                <w:szCs w:val="24"/>
              </w:rPr>
            </w:pPr>
            <w:r>
              <w:t>7,9</w:t>
            </w:r>
          </w:p>
        </w:tc>
      </w:tr>
      <w:tr>
        <w:trPr>
          <w:trHeight w:val="255"/>
        </w:trPr>
        <w:tc>
          <w:tcPr>
            <w:tcW w:w="582" w:type="dxa"/>
          </w:tcPr>
          <w:p>
            <w:pPr>
              <w:ind w:left="-108" w:right="-108"/>
              <w:jc w:val="center"/>
            </w:pPr>
            <w:r>
              <w:t>3.</w:t>
            </w:r>
          </w:p>
        </w:tc>
        <w:tc>
          <w:tcPr>
            <w:tcW w:w="4678" w:type="dxa"/>
            <w:shd w:val="clear" w:color="auto" w:fill="auto"/>
            <w:vAlign w:val="center"/>
          </w:tcPr>
          <w:p>
            <w:pPr>
              <w:ind w:left="34" w:right="-108"/>
            </w:pPr>
            <w:r>
              <w:t xml:space="preserve">МП </w:t>
            </w:r>
            <w:r>
              <w:rPr>
                <w:bCs/>
              </w:rPr>
              <w:t>«Молодежная политика в ЗАТО Северск»</w:t>
            </w:r>
          </w:p>
        </w:tc>
        <w:tc>
          <w:tcPr>
            <w:tcW w:w="1275" w:type="dxa"/>
            <w:shd w:val="clear" w:color="auto" w:fill="auto"/>
            <w:noWrap/>
            <w:vAlign w:val="bottom"/>
          </w:tcPr>
          <w:p>
            <w:pPr>
              <w:jc w:val="right"/>
              <w:rPr>
                <w:sz w:val="24"/>
                <w:szCs w:val="24"/>
              </w:rPr>
            </w:pPr>
            <w:r>
              <w:t>104 488,01</w:t>
            </w:r>
          </w:p>
        </w:tc>
        <w:tc>
          <w:tcPr>
            <w:tcW w:w="1277" w:type="dxa"/>
            <w:shd w:val="clear" w:color="auto" w:fill="auto"/>
            <w:noWrap/>
            <w:vAlign w:val="bottom"/>
          </w:tcPr>
          <w:p>
            <w:pPr>
              <w:jc w:val="right"/>
              <w:rPr>
                <w:sz w:val="24"/>
                <w:szCs w:val="24"/>
              </w:rPr>
            </w:pPr>
            <w:r>
              <w:t>104 423,08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>
            <w:pPr>
              <w:jc w:val="right"/>
              <w:rPr>
                <w:sz w:val="24"/>
                <w:szCs w:val="24"/>
              </w:rPr>
            </w:pPr>
            <w:r>
              <w:t>99,9</w:t>
            </w:r>
          </w:p>
        </w:tc>
        <w:tc>
          <w:tcPr>
            <w:tcW w:w="708" w:type="dxa"/>
            <w:vAlign w:val="bottom"/>
          </w:tcPr>
          <w:p>
            <w:pPr>
              <w:jc w:val="right"/>
              <w:rPr>
                <w:sz w:val="24"/>
                <w:szCs w:val="24"/>
              </w:rPr>
            </w:pPr>
            <w:r>
              <w:t>2,4</w:t>
            </w:r>
          </w:p>
        </w:tc>
      </w:tr>
      <w:tr>
        <w:trPr>
          <w:trHeight w:val="255"/>
        </w:trPr>
        <w:tc>
          <w:tcPr>
            <w:tcW w:w="582" w:type="dxa"/>
          </w:tcPr>
          <w:p>
            <w:pPr>
              <w:ind w:left="-108" w:right="-108"/>
              <w:jc w:val="center"/>
            </w:pPr>
            <w:r>
              <w:t>4.</w:t>
            </w:r>
          </w:p>
        </w:tc>
        <w:tc>
          <w:tcPr>
            <w:tcW w:w="4678" w:type="dxa"/>
            <w:shd w:val="clear" w:color="auto" w:fill="auto"/>
            <w:vAlign w:val="center"/>
          </w:tcPr>
          <w:p>
            <w:pPr>
              <w:ind w:left="34" w:right="-108"/>
            </w:pPr>
            <w:r>
              <w:t xml:space="preserve">МП </w:t>
            </w:r>
            <w:r>
              <w:rPr>
                <w:bCs/>
              </w:rPr>
              <w:t>«Развитие культуры и туризма в ЗАТО Северск»</w:t>
            </w:r>
          </w:p>
        </w:tc>
        <w:tc>
          <w:tcPr>
            <w:tcW w:w="1275" w:type="dxa"/>
            <w:shd w:val="clear" w:color="auto" w:fill="auto"/>
            <w:noWrap/>
            <w:vAlign w:val="bottom"/>
          </w:tcPr>
          <w:p>
            <w:pPr>
              <w:jc w:val="right"/>
              <w:rPr>
                <w:sz w:val="24"/>
                <w:szCs w:val="24"/>
              </w:rPr>
            </w:pPr>
            <w:r>
              <w:t>576 924,89</w:t>
            </w:r>
          </w:p>
        </w:tc>
        <w:tc>
          <w:tcPr>
            <w:tcW w:w="1277" w:type="dxa"/>
            <w:shd w:val="clear" w:color="auto" w:fill="auto"/>
            <w:noWrap/>
            <w:vAlign w:val="bottom"/>
          </w:tcPr>
          <w:p>
            <w:pPr>
              <w:jc w:val="right"/>
              <w:rPr>
                <w:sz w:val="24"/>
                <w:szCs w:val="24"/>
              </w:rPr>
            </w:pPr>
            <w:r>
              <w:t>575 916,34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>
            <w:pPr>
              <w:jc w:val="right"/>
              <w:rPr>
                <w:sz w:val="24"/>
                <w:szCs w:val="24"/>
              </w:rPr>
            </w:pPr>
            <w:r>
              <w:t>99,8</w:t>
            </w:r>
          </w:p>
        </w:tc>
        <w:tc>
          <w:tcPr>
            <w:tcW w:w="708" w:type="dxa"/>
            <w:vAlign w:val="bottom"/>
          </w:tcPr>
          <w:p>
            <w:pPr>
              <w:jc w:val="right"/>
              <w:rPr>
                <w:sz w:val="24"/>
                <w:szCs w:val="24"/>
              </w:rPr>
            </w:pPr>
            <w:r>
              <w:t>13,4</w:t>
            </w:r>
          </w:p>
        </w:tc>
      </w:tr>
      <w:tr>
        <w:trPr>
          <w:trHeight w:val="255"/>
        </w:trPr>
        <w:tc>
          <w:tcPr>
            <w:tcW w:w="582" w:type="dxa"/>
          </w:tcPr>
          <w:p>
            <w:pPr>
              <w:ind w:left="-108" w:right="-108"/>
              <w:jc w:val="center"/>
            </w:pPr>
            <w:r>
              <w:t>5.</w:t>
            </w:r>
          </w:p>
        </w:tc>
        <w:tc>
          <w:tcPr>
            <w:tcW w:w="4678" w:type="dxa"/>
            <w:shd w:val="clear" w:color="auto" w:fill="auto"/>
            <w:vAlign w:val="center"/>
          </w:tcPr>
          <w:p>
            <w:pPr>
              <w:ind w:left="34" w:right="-108"/>
            </w:pPr>
            <w:r>
              <w:t xml:space="preserve">МП </w:t>
            </w:r>
            <w:r>
              <w:rPr>
                <w:bCs/>
              </w:rPr>
              <w:t>«Развитие образования в ЗАТО Северск»</w:t>
            </w:r>
          </w:p>
        </w:tc>
        <w:tc>
          <w:tcPr>
            <w:tcW w:w="1275" w:type="dxa"/>
            <w:shd w:val="clear" w:color="auto" w:fill="auto"/>
            <w:noWrap/>
            <w:vAlign w:val="bottom"/>
          </w:tcPr>
          <w:p>
            <w:pPr>
              <w:jc w:val="right"/>
              <w:rPr>
                <w:sz w:val="24"/>
                <w:szCs w:val="24"/>
              </w:rPr>
            </w:pPr>
            <w:r>
              <w:t>2 152 435,82</w:t>
            </w:r>
          </w:p>
        </w:tc>
        <w:tc>
          <w:tcPr>
            <w:tcW w:w="1277" w:type="dxa"/>
            <w:shd w:val="clear" w:color="auto" w:fill="auto"/>
            <w:noWrap/>
            <w:vAlign w:val="bottom"/>
          </w:tcPr>
          <w:p>
            <w:pPr>
              <w:jc w:val="right"/>
              <w:rPr>
                <w:sz w:val="24"/>
                <w:szCs w:val="24"/>
              </w:rPr>
            </w:pPr>
            <w:r>
              <w:t>2 146 699,22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>
            <w:pPr>
              <w:jc w:val="right"/>
              <w:rPr>
                <w:sz w:val="24"/>
                <w:szCs w:val="24"/>
              </w:rPr>
            </w:pPr>
            <w:r>
              <w:t>99,7</w:t>
            </w:r>
          </w:p>
        </w:tc>
        <w:tc>
          <w:tcPr>
            <w:tcW w:w="708" w:type="dxa"/>
            <w:vAlign w:val="bottom"/>
          </w:tcPr>
          <w:p>
            <w:pPr>
              <w:jc w:val="right"/>
              <w:rPr>
                <w:sz w:val="24"/>
                <w:szCs w:val="24"/>
              </w:rPr>
            </w:pPr>
            <w:r>
              <w:t>49,8</w:t>
            </w:r>
          </w:p>
        </w:tc>
      </w:tr>
      <w:tr>
        <w:trPr>
          <w:trHeight w:val="255"/>
        </w:trPr>
        <w:tc>
          <w:tcPr>
            <w:tcW w:w="582" w:type="dxa"/>
          </w:tcPr>
          <w:p>
            <w:pPr>
              <w:ind w:left="-108" w:right="-108"/>
              <w:jc w:val="center"/>
            </w:pPr>
            <w:r>
              <w:t>6.</w:t>
            </w:r>
          </w:p>
        </w:tc>
        <w:tc>
          <w:tcPr>
            <w:tcW w:w="4678" w:type="dxa"/>
            <w:shd w:val="clear" w:color="auto" w:fill="auto"/>
            <w:vAlign w:val="center"/>
          </w:tcPr>
          <w:p>
            <w:pPr>
              <w:ind w:left="34" w:right="-108"/>
            </w:pPr>
            <w:r>
              <w:t>МП</w:t>
            </w:r>
            <w:r>
              <w:rPr>
                <w:bCs/>
              </w:rPr>
              <w:t xml:space="preserve"> «Социальная поддержка населения ЗАТО Северск»</w:t>
            </w:r>
          </w:p>
        </w:tc>
        <w:tc>
          <w:tcPr>
            <w:tcW w:w="1275" w:type="dxa"/>
            <w:shd w:val="clear" w:color="auto" w:fill="auto"/>
            <w:noWrap/>
            <w:vAlign w:val="bottom"/>
          </w:tcPr>
          <w:p>
            <w:pPr>
              <w:jc w:val="right"/>
              <w:rPr>
                <w:sz w:val="24"/>
                <w:szCs w:val="24"/>
              </w:rPr>
            </w:pPr>
            <w:r>
              <w:t>148 282,93</w:t>
            </w:r>
          </w:p>
        </w:tc>
        <w:tc>
          <w:tcPr>
            <w:tcW w:w="1277" w:type="dxa"/>
            <w:shd w:val="clear" w:color="auto" w:fill="auto"/>
            <w:noWrap/>
            <w:vAlign w:val="bottom"/>
          </w:tcPr>
          <w:p>
            <w:pPr>
              <w:jc w:val="right"/>
              <w:rPr>
                <w:sz w:val="24"/>
                <w:szCs w:val="24"/>
              </w:rPr>
            </w:pPr>
            <w:r>
              <w:t>141 883,49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>
            <w:pPr>
              <w:jc w:val="right"/>
              <w:rPr>
                <w:sz w:val="24"/>
                <w:szCs w:val="24"/>
              </w:rPr>
            </w:pPr>
            <w:r>
              <w:t>95,7</w:t>
            </w:r>
          </w:p>
        </w:tc>
        <w:tc>
          <w:tcPr>
            <w:tcW w:w="708" w:type="dxa"/>
            <w:vAlign w:val="bottom"/>
          </w:tcPr>
          <w:p>
            <w:pPr>
              <w:jc w:val="right"/>
              <w:rPr>
                <w:sz w:val="24"/>
                <w:szCs w:val="24"/>
              </w:rPr>
            </w:pPr>
            <w:r>
              <w:t>3,3</w:t>
            </w:r>
          </w:p>
        </w:tc>
      </w:tr>
      <w:tr>
        <w:trPr>
          <w:trHeight w:val="255"/>
        </w:trPr>
        <w:tc>
          <w:tcPr>
            <w:tcW w:w="582" w:type="dxa"/>
          </w:tcPr>
          <w:p>
            <w:pPr>
              <w:ind w:left="-108" w:right="-108"/>
              <w:jc w:val="center"/>
            </w:pPr>
            <w:r>
              <w:t>7.</w:t>
            </w:r>
          </w:p>
        </w:tc>
        <w:tc>
          <w:tcPr>
            <w:tcW w:w="4678" w:type="dxa"/>
            <w:shd w:val="clear" w:color="auto" w:fill="auto"/>
            <w:vAlign w:val="center"/>
          </w:tcPr>
          <w:p>
            <w:pPr>
              <w:ind w:left="34" w:right="-108"/>
            </w:pPr>
            <w:r>
              <w:t>МП</w:t>
            </w:r>
            <w:r>
              <w:rPr>
                <w:bCs/>
              </w:rPr>
              <w:t xml:space="preserve"> «Улучшение качественного состояния объектов улично-дорожной сети, благоустройства и озеленения территории г.Северска»</w:t>
            </w:r>
          </w:p>
        </w:tc>
        <w:tc>
          <w:tcPr>
            <w:tcW w:w="1275" w:type="dxa"/>
            <w:shd w:val="clear" w:color="auto" w:fill="auto"/>
            <w:noWrap/>
            <w:vAlign w:val="bottom"/>
          </w:tcPr>
          <w:p>
            <w:pPr>
              <w:jc w:val="right"/>
              <w:rPr>
                <w:sz w:val="24"/>
                <w:szCs w:val="24"/>
              </w:rPr>
            </w:pPr>
            <w:r>
              <w:t>546 939,59</w:t>
            </w:r>
          </w:p>
        </w:tc>
        <w:tc>
          <w:tcPr>
            <w:tcW w:w="1277" w:type="dxa"/>
            <w:shd w:val="clear" w:color="auto" w:fill="auto"/>
            <w:noWrap/>
            <w:vAlign w:val="bottom"/>
          </w:tcPr>
          <w:p>
            <w:pPr>
              <w:jc w:val="right"/>
              <w:rPr>
                <w:sz w:val="24"/>
                <w:szCs w:val="24"/>
              </w:rPr>
            </w:pPr>
            <w:r>
              <w:t>542 569,39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>
            <w:pPr>
              <w:jc w:val="right"/>
              <w:rPr>
                <w:sz w:val="24"/>
                <w:szCs w:val="24"/>
              </w:rPr>
            </w:pPr>
            <w:r>
              <w:t>99,2</w:t>
            </w:r>
          </w:p>
        </w:tc>
        <w:tc>
          <w:tcPr>
            <w:tcW w:w="708" w:type="dxa"/>
            <w:vAlign w:val="bottom"/>
          </w:tcPr>
          <w:p>
            <w:pPr>
              <w:jc w:val="right"/>
              <w:rPr>
                <w:sz w:val="24"/>
                <w:szCs w:val="24"/>
              </w:rPr>
            </w:pPr>
            <w:r>
              <w:t>12,6</w:t>
            </w:r>
          </w:p>
        </w:tc>
      </w:tr>
      <w:tr>
        <w:trPr>
          <w:trHeight w:val="255"/>
        </w:trPr>
        <w:tc>
          <w:tcPr>
            <w:tcW w:w="582" w:type="dxa"/>
          </w:tcPr>
          <w:p>
            <w:pPr>
              <w:ind w:left="-108" w:right="-108"/>
              <w:jc w:val="center"/>
            </w:pPr>
            <w:r>
              <w:t>8.</w:t>
            </w:r>
          </w:p>
        </w:tc>
        <w:tc>
          <w:tcPr>
            <w:tcW w:w="4678" w:type="dxa"/>
            <w:shd w:val="clear" w:color="auto" w:fill="auto"/>
            <w:vAlign w:val="center"/>
          </w:tcPr>
          <w:p>
            <w:pPr>
              <w:ind w:left="34" w:right="-108"/>
            </w:pPr>
            <w:r>
              <w:t>МП</w:t>
            </w:r>
            <w:r>
              <w:rPr>
                <w:bCs/>
              </w:rPr>
              <w:t xml:space="preserve"> «Повышение энергоэффективности в ЗАТО Северск»</w:t>
            </w:r>
          </w:p>
        </w:tc>
        <w:tc>
          <w:tcPr>
            <w:tcW w:w="1275" w:type="dxa"/>
            <w:shd w:val="clear" w:color="auto" w:fill="auto"/>
            <w:noWrap/>
            <w:vAlign w:val="bottom"/>
          </w:tcPr>
          <w:p>
            <w:pPr>
              <w:jc w:val="right"/>
              <w:rPr>
                <w:sz w:val="24"/>
                <w:szCs w:val="24"/>
              </w:rPr>
            </w:pPr>
            <w:r>
              <w:t>39 922,20</w:t>
            </w:r>
          </w:p>
        </w:tc>
        <w:tc>
          <w:tcPr>
            <w:tcW w:w="1277" w:type="dxa"/>
            <w:shd w:val="clear" w:color="auto" w:fill="auto"/>
            <w:noWrap/>
            <w:vAlign w:val="bottom"/>
          </w:tcPr>
          <w:p>
            <w:pPr>
              <w:jc w:val="right"/>
              <w:rPr>
                <w:sz w:val="24"/>
                <w:szCs w:val="24"/>
              </w:rPr>
            </w:pPr>
            <w:r>
              <w:t>37 288,49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>
            <w:pPr>
              <w:jc w:val="right"/>
              <w:rPr>
                <w:sz w:val="24"/>
                <w:szCs w:val="24"/>
              </w:rPr>
            </w:pPr>
            <w:r>
              <w:t>93,4</w:t>
            </w:r>
          </w:p>
        </w:tc>
        <w:tc>
          <w:tcPr>
            <w:tcW w:w="708" w:type="dxa"/>
            <w:vAlign w:val="bottom"/>
          </w:tcPr>
          <w:p>
            <w:pPr>
              <w:jc w:val="right"/>
              <w:rPr>
                <w:sz w:val="24"/>
                <w:szCs w:val="24"/>
              </w:rPr>
            </w:pPr>
            <w:r>
              <w:t>0,9</w:t>
            </w:r>
          </w:p>
        </w:tc>
      </w:tr>
      <w:tr>
        <w:trPr>
          <w:trHeight w:val="255"/>
        </w:trPr>
        <w:tc>
          <w:tcPr>
            <w:tcW w:w="582" w:type="dxa"/>
          </w:tcPr>
          <w:p>
            <w:pPr>
              <w:ind w:left="-108" w:right="-108"/>
              <w:jc w:val="center"/>
            </w:pPr>
            <w:r>
              <w:t>9.</w:t>
            </w:r>
          </w:p>
        </w:tc>
        <w:tc>
          <w:tcPr>
            <w:tcW w:w="4678" w:type="dxa"/>
            <w:shd w:val="clear" w:color="auto" w:fill="auto"/>
            <w:vAlign w:val="center"/>
          </w:tcPr>
          <w:p>
            <w:pPr>
              <w:ind w:left="34" w:right="-108"/>
            </w:pPr>
            <w:r>
              <w:t>МП</w:t>
            </w:r>
            <w:r>
              <w:rPr>
                <w:bCs/>
              </w:rPr>
              <w:t xml:space="preserve"> «Обеспечение доступным и комфортным жильем граждан ЗАТО Северск»</w:t>
            </w:r>
          </w:p>
        </w:tc>
        <w:tc>
          <w:tcPr>
            <w:tcW w:w="1275" w:type="dxa"/>
            <w:shd w:val="clear" w:color="auto" w:fill="auto"/>
            <w:noWrap/>
            <w:vAlign w:val="bottom"/>
          </w:tcPr>
          <w:p>
            <w:pPr>
              <w:jc w:val="right"/>
              <w:rPr>
                <w:sz w:val="24"/>
                <w:szCs w:val="24"/>
              </w:rPr>
            </w:pPr>
            <w:r>
              <w:t>18 435,81</w:t>
            </w:r>
          </w:p>
        </w:tc>
        <w:tc>
          <w:tcPr>
            <w:tcW w:w="1277" w:type="dxa"/>
            <w:shd w:val="clear" w:color="auto" w:fill="auto"/>
            <w:noWrap/>
            <w:vAlign w:val="bottom"/>
          </w:tcPr>
          <w:p>
            <w:pPr>
              <w:jc w:val="right"/>
              <w:rPr>
                <w:sz w:val="24"/>
                <w:szCs w:val="24"/>
              </w:rPr>
            </w:pPr>
            <w:r>
              <w:t>16 363,29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>
            <w:pPr>
              <w:jc w:val="right"/>
              <w:rPr>
                <w:sz w:val="24"/>
                <w:szCs w:val="24"/>
              </w:rPr>
            </w:pPr>
            <w:r>
              <w:t>88,8</w:t>
            </w:r>
          </w:p>
        </w:tc>
        <w:tc>
          <w:tcPr>
            <w:tcW w:w="708" w:type="dxa"/>
            <w:vAlign w:val="bottom"/>
          </w:tcPr>
          <w:p>
            <w:pPr>
              <w:jc w:val="right"/>
              <w:rPr>
                <w:sz w:val="24"/>
                <w:szCs w:val="24"/>
              </w:rPr>
            </w:pPr>
            <w:r>
              <w:t>0,4</w:t>
            </w:r>
          </w:p>
        </w:tc>
      </w:tr>
      <w:tr>
        <w:trPr>
          <w:trHeight w:val="255"/>
        </w:trPr>
        <w:tc>
          <w:tcPr>
            <w:tcW w:w="582" w:type="dxa"/>
          </w:tcPr>
          <w:p>
            <w:pPr>
              <w:ind w:left="-108" w:right="-108"/>
              <w:jc w:val="center"/>
            </w:pPr>
            <w:r>
              <w:t>10.</w:t>
            </w:r>
          </w:p>
        </w:tc>
        <w:tc>
          <w:tcPr>
            <w:tcW w:w="4678" w:type="dxa"/>
            <w:shd w:val="clear" w:color="auto" w:fill="auto"/>
            <w:vAlign w:val="center"/>
          </w:tcPr>
          <w:p>
            <w:pPr>
              <w:ind w:left="34" w:right="-108"/>
            </w:pPr>
            <w:r>
              <w:t>МП</w:t>
            </w:r>
            <w:r>
              <w:rPr>
                <w:bCs/>
              </w:rPr>
              <w:t xml:space="preserve"> «Улучшение жизнедеятельности внегородских территорий ЗАТО Северск»</w:t>
            </w:r>
          </w:p>
        </w:tc>
        <w:tc>
          <w:tcPr>
            <w:tcW w:w="1275" w:type="dxa"/>
            <w:shd w:val="clear" w:color="auto" w:fill="auto"/>
            <w:noWrap/>
            <w:vAlign w:val="bottom"/>
          </w:tcPr>
          <w:p>
            <w:pPr>
              <w:jc w:val="right"/>
              <w:rPr>
                <w:sz w:val="24"/>
                <w:szCs w:val="24"/>
              </w:rPr>
            </w:pPr>
            <w:r>
              <w:t>47 223,88</w:t>
            </w:r>
          </w:p>
        </w:tc>
        <w:tc>
          <w:tcPr>
            <w:tcW w:w="1277" w:type="dxa"/>
            <w:shd w:val="clear" w:color="auto" w:fill="auto"/>
            <w:noWrap/>
            <w:vAlign w:val="bottom"/>
          </w:tcPr>
          <w:p>
            <w:pPr>
              <w:jc w:val="right"/>
              <w:rPr>
                <w:sz w:val="24"/>
                <w:szCs w:val="24"/>
              </w:rPr>
            </w:pPr>
            <w:r>
              <w:t>46 754,95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>
            <w:pPr>
              <w:jc w:val="right"/>
              <w:rPr>
                <w:sz w:val="24"/>
                <w:szCs w:val="24"/>
              </w:rPr>
            </w:pPr>
            <w:r>
              <w:t>99,0</w:t>
            </w:r>
          </w:p>
        </w:tc>
        <w:tc>
          <w:tcPr>
            <w:tcW w:w="708" w:type="dxa"/>
            <w:vAlign w:val="bottom"/>
          </w:tcPr>
          <w:p>
            <w:pPr>
              <w:jc w:val="right"/>
              <w:rPr>
                <w:sz w:val="24"/>
                <w:szCs w:val="24"/>
              </w:rPr>
            </w:pPr>
            <w:r>
              <w:t>1,1</w:t>
            </w:r>
          </w:p>
        </w:tc>
      </w:tr>
      <w:tr>
        <w:trPr>
          <w:trHeight w:val="255"/>
        </w:trPr>
        <w:tc>
          <w:tcPr>
            <w:tcW w:w="582" w:type="dxa"/>
          </w:tcPr>
          <w:p>
            <w:pPr>
              <w:ind w:left="-108" w:right="-108"/>
              <w:jc w:val="center"/>
            </w:pPr>
            <w:r>
              <w:t>11.</w:t>
            </w:r>
          </w:p>
        </w:tc>
        <w:tc>
          <w:tcPr>
            <w:tcW w:w="4678" w:type="dxa"/>
            <w:shd w:val="clear" w:color="auto" w:fill="auto"/>
            <w:vAlign w:val="center"/>
          </w:tcPr>
          <w:p>
            <w:pPr>
              <w:ind w:left="34" w:right="-108"/>
            </w:pPr>
            <w:r>
              <w:t>МП</w:t>
            </w:r>
            <w:r>
              <w:rPr>
                <w:bCs/>
              </w:rPr>
              <w:t xml:space="preserve"> «Обеспечение безопасности населения на территории ЗАТО Северск»</w:t>
            </w:r>
          </w:p>
        </w:tc>
        <w:tc>
          <w:tcPr>
            <w:tcW w:w="1275" w:type="dxa"/>
            <w:shd w:val="clear" w:color="auto" w:fill="auto"/>
            <w:noWrap/>
            <w:vAlign w:val="bottom"/>
          </w:tcPr>
          <w:p>
            <w:pPr>
              <w:jc w:val="right"/>
              <w:rPr>
                <w:sz w:val="24"/>
                <w:szCs w:val="24"/>
              </w:rPr>
            </w:pPr>
            <w:r>
              <w:t>67 399,56</w:t>
            </w:r>
          </w:p>
        </w:tc>
        <w:tc>
          <w:tcPr>
            <w:tcW w:w="1277" w:type="dxa"/>
            <w:shd w:val="clear" w:color="auto" w:fill="auto"/>
            <w:noWrap/>
            <w:vAlign w:val="bottom"/>
          </w:tcPr>
          <w:p>
            <w:pPr>
              <w:jc w:val="right"/>
              <w:rPr>
                <w:sz w:val="24"/>
                <w:szCs w:val="24"/>
              </w:rPr>
            </w:pPr>
            <w:r>
              <w:t>66 861,57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>
            <w:pPr>
              <w:jc w:val="right"/>
              <w:rPr>
                <w:sz w:val="24"/>
                <w:szCs w:val="24"/>
              </w:rPr>
            </w:pPr>
            <w:r>
              <w:t>99,2</w:t>
            </w:r>
          </w:p>
        </w:tc>
        <w:tc>
          <w:tcPr>
            <w:tcW w:w="708" w:type="dxa"/>
            <w:vAlign w:val="bottom"/>
          </w:tcPr>
          <w:p>
            <w:pPr>
              <w:jc w:val="right"/>
              <w:rPr>
                <w:sz w:val="24"/>
                <w:szCs w:val="24"/>
              </w:rPr>
            </w:pPr>
            <w:r>
              <w:t>1,6</w:t>
            </w:r>
          </w:p>
        </w:tc>
      </w:tr>
      <w:tr>
        <w:trPr>
          <w:trHeight w:val="255"/>
        </w:trPr>
        <w:tc>
          <w:tcPr>
            <w:tcW w:w="582" w:type="dxa"/>
          </w:tcPr>
          <w:p>
            <w:pPr>
              <w:ind w:left="-108" w:right="-108"/>
              <w:jc w:val="center"/>
            </w:pPr>
            <w:r>
              <w:t>12.</w:t>
            </w:r>
          </w:p>
        </w:tc>
        <w:tc>
          <w:tcPr>
            <w:tcW w:w="4678" w:type="dxa"/>
            <w:shd w:val="clear" w:color="auto" w:fill="auto"/>
            <w:vAlign w:val="center"/>
          </w:tcPr>
          <w:p>
            <w:pPr>
              <w:ind w:left="34" w:right="-108"/>
            </w:pPr>
            <w:r>
              <w:t>МП</w:t>
            </w:r>
            <w:r>
              <w:rPr>
                <w:bCs/>
              </w:rPr>
              <w:t xml:space="preserve"> «Охрана окружающей среды на </w:t>
            </w:r>
            <w:proofErr w:type="gramStart"/>
            <w:r>
              <w:rPr>
                <w:bCs/>
              </w:rPr>
              <w:t>территории</w:t>
            </w:r>
            <w:proofErr w:type="gramEnd"/>
            <w:r>
              <w:rPr>
                <w:bCs/>
              </w:rPr>
              <w:t xml:space="preserve"> ЗАТО Северск»  </w:t>
            </w:r>
          </w:p>
        </w:tc>
        <w:tc>
          <w:tcPr>
            <w:tcW w:w="1275" w:type="dxa"/>
            <w:shd w:val="clear" w:color="auto" w:fill="auto"/>
            <w:noWrap/>
            <w:vAlign w:val="bottom"/>
          </w:tcPr>
          <w:p>
            <w:pPr>
              <w:jc w:val="right"/>
              <w:rPr>
                <w:sz w:val="24"/>
                <w:szCs w:val="24"/>
              </w:rPr>
            </w:pPr>
            <w:r>
              <w:t>8 072,93</w:t>
            </w:r>
          </w:p>
        </w:tc>
        <w:tc>
          <w:tcPr>
            <w:tcW w:w="1277" w:type="dxa"/>
            <w:shd w:val="clear" w:color="auto" w:fill="auto"/>
            <w:noWrap/>
            <w:vAlign w:val="bottom"/>
          </w:tcPr>
          <w:p>
            <w:pPr>
              <w:jc w:val="right"/>
              <w:rPr>
                <w:sz w:val="24"/>
                <w:szCs w:val="24"/>
              </w:rPr>
            </w:pPr>
            <w:r>
              <w:t>8 072,45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>
            <w:pPr>
              <w:jc w:val="right"/>
              <w:rPr>
                <w:sz w:val="24"/>
                <w:szCs w:val="24"/>
              </w:rPr>
            </w:pPr>
            <w:r>
              <w:t>100,0</w:t>
            </w:r>
          </w:p>
        </w:tc>
        <w:tc>
          <w:tcPr>
            <w:tcW w:w="708" w:type="dxa"/>
            <w:vAlign w:val="bottom"/>
          </w:tcPr>
          <w:p>
            <w:pPr>
              <w:jc w:val="right"/>
              <w:rPr>
                <w:sz w:val="24"/>
                <w:szCs w:val="24"/>
              </w:rPr>
            </w:pPr>
            <w:r>
              <w:t>0,2</w:t>
            </w:r>
          </w:p>
        </w:tc>
      </w:tr>
      <w:tr>
        <w:trPr>
          <w:trHeight w:val="255"/>
        </w:trPr>
        <w:tc>
          <w:tcPr>
            <w:tcW w:w="582" w:type="dxa"/>
          </w:tcPr>
          <w:p>
            <w:pPr>
              <w:ind w:left="-108" w:right="-108"/>
              <w:jc w:val="center"/>
            </w:pPr>
            <w:r>
              <w:t>13.</w:t>
            </w:r>
          </w:p>
        </w:tc>
        <w:tc>
          <w:tcPr>
            <w:tcW w:w="4678" w:type="dxa"/>
            <w:shd w:val="clear" w:color="auto" w:fill="auto"/>
            <w:vAlign w:val="center"/>
          </w:tcPr>
          <w:p>
            <w:pPr>
              <w:ind w:left="34" w:right="-108"/>
            </w:pPr>
            <w:r>
              <w:t>МП</w:t>
            </w:r>
            <w:r>
              <w:rPr>
                <w:bCs/>
              </w:rPr>
              <w:t xml:space="preserve"> «Эффективное управление муниципальными финансами ЗАТО Северск»</w:t>
            </w:r>
          </w:p>
        </w:tc>
        <w:tc>
          <w:tcPr>
            <w:tcW w:w="1275" w:type="dxa"/>
            <w:shd w:val="clear" w:color="auto" w:fill="auto"/>
            <w:noWrap/>
            <w:vAlign w:val="bottom"/>
          </w:tcPr>
          <w:p>
            <w:pPr>
              <w:jc w:val="right"/>
              <w:rPr>
                <w:sz w:val="24"/>
                <w:szCs w:val="24"/>
              </w:rPr>
            </w:pPr>
            <w:r>
              <w:t>38 347,78</w:t>
            </w:r>
          </w:p>
        </w:tc>
        <w:tc>
          <w:tcPr>
            <w:tcW w:w="1277" w:type="dxa"/>
            <w:shd w:val="clear" w:color="auto" w:fill="auto"/>
            <w:noWrap/>
            <w:vAlign w:val="bottom"/>
          </w:tcPr>
          <w:p>
            <w:pPr>
              <w:jc w:val="right"/>
              <w:rPr>
                <w:sz w:val="24"/>
                <w:szCs w:val="24"/>
              </w:rPr>
            </w:pPr>
            <w:r>
              <w:t>37 334,44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>
            <w:pPr>
              <w:jc w:val="right"/>
              <w:rPr>
                <w:sz w:val="24"/>
                <w:szCs w:val="24"/>
              </w:rPr>
            </w:pPr>
            <w:r>
              <w:t>97,4</w:t>
            </w:r>
          </w:p>
        </w:tc>
        <w:tc>
          <w:tcPr>
            <w:tcW w:w="708" w:type="dxa"/>
            <w:vAlign w:val="bottom"/>
          </w:tcPr>
          <w:p>
            <w:pPr>
              <w:jc w:val="right"/>
              <w:rPr>
                <w:sz w:val="24"/>
                <w:szCs w:val="24"/>
              </w:rPr>
            </w:pPr>
            <w:r>
              <w:t>0,9</w:t>
            </w:r>
          </w:p>
        </w:tc>
      </w:tr>
      <w:tr>
        <w:trPr>
          <w:trHeight w:val="266"/>
        </w:trPr>
        <w:tc>
          <w:tcPr>
            <w:tcW w:w="582" w:type="dxa"/>
            <w:vAlign w:val="center"/>
          </w:tcPr>
          <w:p>
            <w:pPr>
              <w:jc w:val="center"/>
            </w:pPr>
            <w:r>
              <w:lastRenderedPageBreak/>
              <w:t>1</w:t>
            </w:r>
          </w:p>
        </w:tc>
        <w:tc>
          <w:tcPr>
            <w:tcW w:w="4678" w:type="dxa"/>
            <w:shd w:val="clear" w:color="auto" w:fill="auto"/>
            <w:vAlign w:val="center"/>
          </w:tcPr>
          <w:p>
            <w:pPr>
              <w:jc w:val="center"/>
            </w:pPr>
            <w:r>
              <w:t>2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>
            <w:pPr>
              <w:jc w:val="center"/>
            </w:pPr>
            <w:r>
              <w:t>3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>
            <w:pPr>
              <w:jc w:val="center"/>
            </w:pPr>
            <w:r>
              <w:t>4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>
            <w:pPr>
              <w:jc w:val="center"/>
            </w:pPr>
            <w:r>
              <w:t>5</w:t>
            </w:r>
          </w:p>
        </w:tc>
        <w:tc>
          <w:tcPr>
            <w:tcW w:w="708" w:type="dxa"/>
            <w:vAlign w:val="center"/>
          </w:tcPr>
          <w:p>
            <w:pPr>
              <w:jc w:val="center"/>
            </w:pPr>
            <w:r>
              <w:t>6</w:t>
            </w:r>
          </w:p>
        </w:tc>
      </w:tr>
      <w:tr>
        <w:trPr>
          <w:trHeight w:val="478"/>
        </w:trPr>
        <w:tc>
          <w:tcPr>
            <w:tcW w:w="582" w:type="dxa"/>
          </w:tcPr>
          <w:p>
            <w:pPr>
              <w:ind w:left="-108" w:right="-108"/>
              <w:jc w:val="center"/>
            </w:pPr>
            <w:r>
              <w:t>14.</w:t>
            </w:r>
          </w:p>
        </w:tc>
        <w:tc>
          <w:tcPr>
            <w:tcW w:w="4678" w:type="dxa"/>
            <w:shd w:val="clear" w:color="auto" w:fill="auto"/>
            <w:vAlign w:val="center"/>
          </w:tcPr>
          <w:p>
            <w:pPr>
              <w:ind w:left="34" w:right="-108"/>
              <w:rPr>
                <w:bCs/>
              </w:rPr>
            </w:pPr>
            <w:r>
              <w:t>МП</w:t>
            </w:r>
            <w:r>
              <w:rPr>
                <w:bCs/>
              </w:rPr>
              <w:t xml:space="preserve"> «Эффективное управление муниципальным имуществом ЗАТО Северск»</w:t>
            </w:r>
          </w:p>
        </w:tc>
        <w:tc>
          <w:tcPr>
            <w:tcW w:w="1275" w:type="dxa"/>
            <w:shd w:val="clear" w:color="auto" w:fill="auto"/>
            <w:noWrap/>
            <w:vAlign w:val="bottom"/>
          </w:tcPr>
          <w:p>
            <w:pPr>
              <w:jc w:val="right"/>
              <w:rPr>
                <w:sz w:val="24"/>
                <w:szCs w:val="24"/>
              </w:rPr>
            </w:pPr>
            <w:r>
              <w:t>81 818,05</w:t>
            </w:r>
          </w:p>
        </w:tc>
        <w:tc>
          <w:tcPr>
            <w:tcW w:w="1277" w:type="dxa"/>
            <w:shd w:val="clear" w:color="auto" w:fill="auto"/>
            <w:noWrap/>
            <w:vAlign w:val="bottom"/>
          </w:tcPr>
          <w:p>
            <w:pPr>
              <w:jc w:val="right"/>
              <w:rPr>
                <w:sz w:val="24"/>
                <w:szCs w:val="24"/>
              </w:rPr>
            </w:pPr>
            <w:r>
              <w:t>80 362,42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>
            <w:pPr>
              <w:jc w:val="right"/>
              <w:rPr>
                <w:sz w:val="24"/>
                <w:szCs w:val="24"/>
              </w:rPr>
            </w:pPr>
            <w:r>
              <w:t>98,2</w:t>
            </w:r>
          </w:p>
        </w:tc>
        <w:tc>
          <w:tcPr>
            <w:tcW w:w="708" w:type="dxa"/>
            <w:vAlign w:val="bottom"/>
          </w:tcPr>
          <w:p>
            <w:pPr>
              <w:jc w:val="right"/>
              <w:rPr>
                <w:sz w:val="24"/>
                <w:szCs w:val="24"/>
              </w:rPr>
            </w:pPr>
            <w:r>
              <w:t>1,9</w:t>
            </w:r>
          </w:p>
        </w:tc>
      </w:tr>
      <w:tr>
        <w:trPr>
          <w:trHeight w:val="255"/>
        </w:trPr>
        <w:tc>
          <w:tcPr>
            <w:tcW w:w="582" w:type="dxa"/>
          </w:tcPr>
          <w:p>
            <w:pPr>
              <w:ind w:left="-108" w:right="-108"/>
              <w:jc w:val="center"/>
            </w:pPr>
            <w:r>
              <w:t>15.</w:t>
            </w:r>
          </w:p>
        </w:tc>
        <w:tc>
          <w:tcPr>
            <w:tcW w:w="4678" w:type="dxa"/>
            <w:shd w:val="clear" w:color="auto" w:fill="auto"/>
            <w:vAlign w:val="center"/>
          </w:tcPr>
          <w:p>
            <w:pPr>
              <w:ind w:left="34" w:right="-108"/>
            </w:pPr>
            <w:r>
              <w:t>МП</w:t>
            </w:r>
            <w:r>
              <w:rPr>
                <w:bCs/>
              </w:rPr>
              <w:t xml:space="preserve"> «Профилактика алкоголизма, наркомании, токсикомании и ВИЧ-инфекции»</w:t>
            </w:r>
          </w:p>
        </w:tc>
        <w:tc>
          <w:tcPr>
            <w:tcW w:w="1275" w:type="dxa"/>
            <w:shd w:val="clear" w:color="auto" w:fill="auto"/>
            <w:noWrap/>
            <w:vAlign w:val="bottom"/>
          </w:tcPr>
          <w:p>
            <w:pPr>
              <w:jc w:val="right"/>
              <w:rPr>
                <w:sz w:val="24"/>
                <w:szCs w:val="24"/>
              </w:rPr>
            </w:pPr>
            <w:r>
              <w:t>1 409,23</w:t>
            </w:r>
          </w:p>
        </w:tc>
        <w:tc>
          <w:tcPr>
            <w:tcW w:w="1277" w:type="dxa"/>
            <w:shd w:val="clear" w:color="auto" w:fill="auto"/>
            <w:noWrap/>
            <w:vAlign w:val="bottom"/>
          </w:tcPr>
          <w:p>
            <w:pPr>
              <w:jc w:val="right"/>
              <w:rPr>
                <w:sz w:val="24"/>
                <w:szCs w:val="24"/>
              </w:rPr>
            </w:pPr>
            <w:r>
              <w:t>1 409,23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>
            <w:pPr>
              <w:jc w:val="right"/>
              <w:rPr>
                <w:sz w:val="24"/>
                <w:szCs w:val="24"/>
              </w:rPr>
            </w:pPr>
            <w:r>
              <w:t>100,0</w:t>
            </w:r>
          </w:p>
        </w:tc>
        <w:tc>
          <w:tcPr>
            <w:tcW w:w="708" w:type="dxa"/>
            <w:vAlign w:val="bottom"/>
          </w:tcPr>
          <w:p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>
        <w:trPr>
          <w:trHeight w:val="255"/>
        </w:trPr>
        <w:tc>
          <w:tcPr>
            <w:tcW w:w="582" w:type="dxa"/>
          </w:tcPr>
          <w:p>
            <w:pPr>
              <w:ind w:left="-108" w:right="-108"/>
              <w:jc w:val="center"/>
            </w:pPr>
            <w:r>
              <w:t>16.</w:t>
            </w:r>
          </w:p>
        </w:tc>
        <w:tc>
          <w:tcPr>
            <w:tcW w:w="4678" w:type="dxa"/>
            <w:shd w:val="clear" w:color="auto" w:fill="auto"/>
            <w:vAlign w:val="center"/>
          </w:tcPr>
          <w:p>
            <w:pPr>
              <w:ind w:left="34" w:right="-108"/>
            </w:pPr>
            <w:r>
              <w:t>МП «Формирование современной городской среды ЗАТО Северск»</w:t>
            </w:r>
          </w:p>
        </w:tc>
        <w:tc>
          <w:tcPr>
            <w:tcW w:w="1275" w:type="dxa"/>
            <w:shd w:val="clear" w:color="auto" w:fill="auto"/>
            <w:noWrap/>
            <w:vAlign w:val="bottom"/>
          </w:tcPr>
          <w:p>
            <w:pPr>
              <w:jc w:val="right"/>
              <w:rPr>
                <w:sz w:val="24"/>
                <w:szCs w:val="24"/>
              </w:rPr>
            </w:pPr>
            <w:r>
              <w:t>70 374,37</w:t>
            </w:r>
          </w:p>
        </w:tc>
        <w:tc>
          <w:tcPr>
            <w:tcW w:w="1277" w:type="dxa"/>
            <w:shd w:val="clear" w:color="auto" w:fill="auto"/>
            <w:noWrap/>
            <w:vAlign w:val="bottom"/>
          </w:tcPr>
          <w:p>
            <w:pPr>
              <w:jc w:val="right"/>
              <w:rPr>
                <w:sz w:val="24"/>
                <w:szCs w:val="24"/>
              </w:rPr>
            </w:pPr>
            <w:r>
              <w:t>70 374,36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>
            <w:pPr>
              <w:jc w:val="right"/>
              <w:rPr>
                <w:sz w:val="24"/>
                <w:szCs w:val="24"/>
              </w:rPr>
            </w:pPr>
            <w:r>
              <w:t>100,0</w:t>
            </w:r>
          </w:p>
        </w:tc>
        <w:tc>
          <w:tcPr>
            <w:tcW w:w="708" w:type="dxa"/>
            <w:vAlign w:val="bottom"/>
          </w:tcPr>
          <w:p>
            <w:pPr>
              <w:jc w:val="right"/>
              <w:rPr>
                <w:sz w:val="24"/>
                <w:szCs w:val="24"/>
              </w:rPr>
            </w:pPr>
            <w:r>
              <w:t>1,6</w:t>
            </w:r>
          </w:p>
        </w:tc>
      </w:tr>
      <w:tr>
        <w:trPr>
          <w:trHeight w:val="255"/>
        </w:trPr>
        <w:tc>
          <w:tcPr>
            <w:tcW w:w="582" w:type="dxa"/>
          </w:tcPr>
          <w:p>
            <w:pPr>
              <w:ind w:left="-108" w:right="-108"/>
              <w:jc w:val="center"/>
            </w:pPr>
            <w:r>
              <w:t>17.</w:t>
            </w:r>
          </w:p>
        </w:tc>
        <w:tc>
          <w:tcPr>
            <w:tcW w:w="4678" w:type="dxa"/>
            <w:shd w:val="clear" w:color="auto" w:fill="auto"/>
            <w:vAlign w:val="center"/>
          </w:tcPr>
          <w:p>
            <w:pPr>
              <w:ind w:left="34" w:right="-108"/>
            </w:pPr>
            <w:r>
              <w:t>МП «Развитие информационного общества ЗАТО Северск»</w:t>
            </w:r>
          </w:p>
        </w:tc>
        <w:tc>
          <w:tcPr>
            <w:tcW w:w="1275" w:type="dxa"/>
            <w:shd w:val="clear" w:color="auto" w:fill="auto"/>
            <w:noWrap/>
            <w:vAlign w:val="bottom"/>
          </w:tcPr>
          <w:p>
            <w:pPr>
              <w:jc w:val="right"/>
              <w:rPr>
                <w:sz w:val="24"/>
                <w:szCs w:val="24"/>
              </w:rPr>
            </w:pPr>
            <w:r>
              <w:t>5 784,96</w:t>
            </w:r>
          </w:p>
        </w:tc>
        <w:tc>
          <w:tcPr>
            <w:tcW w:w="1277" w:type="dxa"/>
            <w:shd w:val="clear" w:color="auto" w:fill="auto"/>
            <w:noWrap/>
            <w:vAlign w:val="bottom"/>
          </w:tcPr>
          <w:p>
            <w:pPr>
              <w:jc w:val="right"/>
              <w:rPr>
                <w:sz w:val="24"/>
                <w:szCs w:val="24"/>
              </w:rPr>
            </w:pPr>
            <w:r>
              <w:t>5 089,09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>
            <w:pPr>
              <w:jc w:val="right"/>
              <w:rPr>
                <w:sz w:val="24"/>
                <w:szCs w:val="24"/>
              </w:rPr>
            </w:pPr>
            <w:r>
              <w:t>88,0</w:t>
            </w:r>
          </w:p>
        </w:tc>
        <w:tc>
          <w:tcPr>
            <w:tcW w:w="708" w:type="dxa"/>
            <w:vAlign w:val="bottom"/>
          </w:tcPr>
          <w:p>
            <w:pPr>
              <w:jc w:val="right"/>
              <w:rPr>
                <w:sz w:val="24"/>
                <w:szCs w:val="24"/>
              </w:rPr>
            </w:pPr>
            <w:r>
              <w:t>0,1</w:t>
            </w:r>
          </w:p>
        </w:tc>
      </w:tr>
      <w:tr>
        <w:trPr>
          <w:trHeight w:val="255"/>
        </w:trPr>
        <w:tc>
          <w:tcPr>
            <w:tcW w:w="582" w:type="dxa"/>
          </w:tcPr>
          <w:p>
            <w:pPr>
              <w:ind w:left="-108" w:right="-108"/>
              <w:jc w:val="center"/>
              <w:rPr>
                <w:bCs/>
              </w:rPr>
            </w:pPr>
            <w:r>
              <w:rPr>
                <w:bCs/>
              </w:rPr>
              <w:t>18.</w:t>
            </w:r>
          </w:p>
        </w:tc>
        <w:tc>
          <w:tcPr>
            <w:tcW w:w="4678" w:type="dxa"/>
            <w:shd w:val="clear" w:color="auto" w:fill="auto"/>
            <w:vAlign w:val="center"/>
          </w:tcPr>
          <w:p>
            <w:pPr>
              <w:ind w:left="34" w:right="-108"/>
              <w:rPr>
                <w:bCs/>
              </w:rPr>
            </w:pPr>
            <w:r>
              <w:rPr>
                <w:bCs/>
              </w:rPr>
              <w:t>Программа «Комплексное развитие систем коммунальной и инженерной инфраструктуры ЗАТО Северск»</w:t>
            </w:r>
          </w:p>
        </w:tc>
        <w:tc>
          <w:tcPr>
            <w:tcW w:w="1275" w:type="dxa"/>
            <w:shd w:val="clear" w:color="auto" w:fill="auto"/>
            <w:noWrap/>
            <w:vAlign w:val="bottom"/>
          </w:tcPr>
          <w:p>
            <w:pPr>
              <w:jc w:val="right"/>
              <w:rPr>
                <w:sz w:val="24"/>
                <w:szCs w:val="24"/>
              </w:rPr>
            </w:pPr>
            <w:r>
              <w:t>65 434,39</w:t>
            </w:r>
          </w:p>
        </w:tc>
        <w:tc>
          <w:tcPr>
            <w:tcW w:w="1277" w:type="dxa"/>
            <w:shd w:val="clear" w:color="auto" w:fill="auto"/>
            <w:noWrap/>
            <w:vAlign w:val="bottom"/>
          </w:tcPr>
          <w:p>
            <w:pPr>
              <w:jc w:val="right"/>
              <w:rPr>
                <w:sz w:val="24"/>
                <w:szCs w:val="24"/>
              </w:rPr>
            </w:pPr>
            <w:r>
              <w:t>63 372,90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>
            <w:pPr>
              <w:jc w:val="right"/>
              <w:rPr>
                <w:sz w:val="24"/>
                <w:szCs w:val="24"/>
              </w:rPr>
            </w:pPr>
            <w:r>
              <w:t>96,8</w:t>
            </w:r>
          </w:p>
        </w:tc>
        <w:tc>
          <w:tcPr>
            <w:tcW w:w="708" w:type="dxa"/>
            <w:vAlign w:val="bottom"/>
          </w:tcPr>
          <w:p>
            <w:pPr>
              <w:jc w:val="right"/>
              <w:rPr>
                <w:sz w:val="24"/>
                <w:szCs w:val="24"/>
              </w:rPr>
            </w:pPr>
            <w:r>
              <w:t>1,5</w:t>
            </w:r>
          </w:p>
        </w:tc>
      </w:tr>
      <w:tr>
        <w:trPr>
          <w:trHeight w:val="377"/>
        </w:trPr>
        <w:tc>
          <w:tcPr>
            <w:tcW w:w="582" w:type="dxa"/>
          </w:tcPr>
          <w:p>
            <w:pPr>
              <w:ind w:left="-108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>
            <w:pPr>
              <w:ind w:left="34" w:right="-108"/>
              <w:rPr>
                <w:bCs/>
              </w:rPr>
            </w:pPr>
            <w:r>
              <w:rPr>
                <w:bCs/>
              </w:rPr>
              <w:t>ИТОГО по программам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>
            <w:pPr>
              <w:jc w:val="right"/>
              <w:rPr>
                <w:highlight w:val="yellow"/>
              </w:rPr>
            </w:pPr>
            <w:r>
              <w:t>4 343 895,41</w:t>
            </w:r>
          </w:p>
        </w:tc>
        <w:tc>
          <w:tcPr>
            <w:tcW w:w="1277" w:type="dxa"/>
            <w:shd w:val="clear" w:color="auto" w:fill="auto"/>
            <w:noWrap/>
            <w:vAlign w:val="center"/>
          </w:tcPr>
          <w:p>
            <w:pPr>
              <w:jc w:val="right"/>
              <w:rPr>
                <w:rFonts w:ascii="Arial" w:hAnsi="Arial" w:cs="Arial"/>
                <w:highlight w:val="yellow"/>
              </w:rPr>
            </w:pPr>
            <w:r>
              <w:t>4 308 667,98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>
            <w:pPr>
              <w:jc w:val="right"/>
              <w:rPr>
                <w:sz w:val="24"/>
                <w:szCs w:val="24"/>
              </w:rPr>
            </w:pPr>
            <w:r>
              <w:t>99,2</w:t>
            </w:r>
          </w:p>
        </w:tc>
        <w:tc>
          <w:tcPr>
            <w:tcW w:w="708" w:type="dxa"/>
            <w:vAlign w:val="center"/>
          </w:tcPr>
          <w:p>
            <w:pPr>
              <w:jc w:val="center"/>
              <w:rPr>
                <w:highlight w:val="yellow"/>
              </w:rPr>
            </w:pPr>
            <w:r>
              <w:t>100,0</w:t>
            </w:r>
          </w:p>
        </w:tc>
      </w:tr>
    </w:tbl>
    <w:p>
      <w:pPr>
        <w:pStyle w:val="211"/>
        <w:widowControl/>
        <w:spacing w:before="160" w:line="240" w:lineRule="auto"/>
        <w:rPr>
          <w:snapToGrid/>
          <w:sz w:val="24"/>
          <w:szCs w:val="24"/>
        </w:rPr>
      </w:pPr>
      <w:r>
        <w:rPr>
          <w:snapToGrid/>
          <w:sz w:val="24"/>
          <w:szCs w:val="24"/>
        </w:rPr>
        <w:t>В разрезе источников финансирования программы исполнены следующим образом:</w:t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- за счёт средств федерального бюджета 220 306,06 тыс.руб. (исполнение составило 100% к плану 2019 года);</w:t>
      </w:r>
    </w:p>
    <w:p>
      <w:pPr>
        <w:pStyle w:val="211"/>
        <w:widowControl/>
        <w:spacing w:line="240" w:lineRule="auto"/>
        <w:rPr>
          <w:snapToGrid/>
          <w:sz w:val="24"/>
          <w:szCs w:val="24"/>
        </w:rPr>
      </w:pPr>
      <w:r>
        <w:rPr>
          <w:snapToGrid/>
          <w:sz w:val="24"/>
          <w:szCs w:val="24"/>
        </w:rPr>
        <w:t>- за счёт средств областного бюджета 1 936 139,24 </w:t>
      </w:r>
      <w:r>
        <w:rPr>
          <w:sz w:val="24"/>
          <w:szCs w:val="24"/>
        </w:rPr>
        <w:t>тыс.</w:t>
      </w:r>
      <w:r>
        <w:rPr>
          <w:snapToGrid/>
          <w:sz w:val="24"/>
          <w:szCs w:val="24"/>
        </w:rPr>
        <w:t>руб. (исполнение составило 99,1% к плану 2019 года);</w:t>
      </w:r>
    </w:p>
    <w:p>
      <w:pPr>
        <w:pStyle w:val="211"/>
        <w:widowControl/>
        <w:spacing w:line="240" w:lineRule="auto"/>
        <w:rPr>
          <w:snapToGrid/>
          <w:sz w:val="24"/>
          <w:szCs w:val="24"/>
        </w:rPr>
      </w:pPr>
      <w:r>
        <w:rPr>
          <w:snapToGrid/>
          <w:sz w:val="24"/>
          <w:szCs w:val="24"/>
        </w:rPr>
        <w:t xml:space="preserve">- за счёт средств местного бюджета 2 152 222,68 </w:t>
      </w:r>
      <w:r>
        <w:rPr>
          <w:sz w:val="24"/>
          <w:szCs w:val="24"/>
        </w:rPr>
        <w:t>тыс.</w:t>
      </w:r>
      <w:r>
        <w:rPr>
          <w:snapToGrid/>
          <w:sz w:val="24"/>
          <w:szCs w:val="24"/>
        </w:rPr>
        <w:t xml:space="preserve"> руб. (исполнение составило 99,9% к плану 2019 года).</w:t>
      </w:r>
    </w:p>
    <w:p>
      <w:pPr>
        <w:pStyle w:val="211"/>
        <w:widowControl/>
        <w:spacing w:line="240" w:lineRule="auto"/>
        <w:rPr>
          <w:snapToGrid/>
          <w:szCs w:val="26"/>
        </w:rPr>
      </w:pPr>
    </w:p>
    <w:p>
      <w:pPr>
        <w:ind w:right="57"/>
        <w:jc w:val="center"/>
        <w:rPr>
          <w:b/>
          <w:bCs/>
          <w:i/>
          <w:sz w:val="24"/>
          <w:szCs w:val="24"/>
        </w:rPr>
      </w:pPr>
      <w:r>
        <w:rPr>
          <w:b/>
          <w:bCs/>
          <w:i/>
          <w:sz w:val="24"/>
          <w:szCs w:val="24"/>
        </w:rPr>
        <w:t>4.1.5.1. Муниципальная программа</w:t>
      </w:r>
    </w:p>
    <w:p>
      <w:pPr>
        <w:spacing w:after="160"/>
        <w:ind w:right="57"/>
        <w:jc w:val="center"/>
        <w:rPr>
          <w:b/>
          <w:bCs/>
          <w:i/>
          <w:sz w:val="24"/>
          <w:szCs w:val="24"/>
        </w:rPr>
      </w:pPr>
      <w:r>
        <w:rPr>
          <w:b/>
          <w:bCs/>
          <w:i/>
          <w:sz w:val="24"/>
          <w:szCs w:val="24"/>
        </w:rPr>
        <w:t xml:space="preserve"> «Развитие предпринимательства в ЗАТО Северск»</w:t>
      </w:r>
    </w:p>
    <w:p>
      <w:pPr>
        <w:ind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Программа исполнена ответственным исполнителем Администрацией ЗАТО Северск в сумме 23 868,78 тыс. руб. </w:t>
      </w:r>
    </w:p>
    <w:p>
      <w:pPr>
        <w:ind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Бюджетные ассигнования направлены на:</w:t>
      </w:r>
    </w:p>
    <w:p>
      <w:pPr>
        <w:ind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 предоставление субсидий на текущую деятельность инфраструктуры поддержки малого и среднего предпринимательства в объеме 6 141,39 тыс.руб. (из них                           2 841,39 тыс.руб. за счет средств областного бюджета), в том числе: </w:t>
      </w:r>
    </w:p>
    <w:p>
      <w:pPr>
        <w:pStyle w:val="af8"/>
        <w:numPr>
          <w:ilvl w:val="0"/>
          <w:numId w:val="27"/>
        </w:numPr>
        <w:tabs>
          <w:tab w:val="left" w:pos="1134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фонда «</w:t>
      </w:r>
      <w:proofErr w:type="spellStart"/>
      <w:r>
        <w:rPr>
          <w:bCs/>
          <w:sz w:val="24"/>
          <w:szCs w:val="24"/>
        </w:rPr>
        <w:t>Микрокредитная</w:t>
      </w:r>
      <w:proofErr w:type="spellEnd"/>
      <w:r>
        <w:rPr>
          <w:bCs/>
          <w:sz w:val="24"/>
          <w:szCs w:val="24"/>
        </w:rPr>
        <w:t xml:space="preserve"> компания фонд развития малого и среднего предпринимательства  ЗАТО Северск» - 2 500,00 тыс</w:t>
      </w:r>
      <w:proofErr w:type="gramStart"/>
      <w:r>
        <w:rPr>
          <w:bCs/>
          <w:sz w:val="24"/>
          <w:szCs w:val="24"/>
        </w:rPr>
        <w:t>.р</w:t>
      </w:r>
      <w:proofErr w:type="gramEnd"/>
      <w:r>
        <w:rPr>
          <w:bCs/>
          <w:sz w:val="24"/>
          <w:szCs w:val="24"/>
        </w:rPr>
        <w:t xml:space="preserve">уб.; </w:t>
      </w:r>
    </w:p>
    <w:p>
      <w:pPr>
        <w:pStyle w:val="af8"/>
        <w:numPr>
          <w:ilvl w:val="0"/>
          <w:numId w:val="27"/>
        </w:numPr>
        <w:tabs>
          <w:tab w:val="left" w:pos="1134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НП «Агентство развития предпринимательства - Северск» - 789,67 тыс</w:t>
      </w:r>
      <w:proofErr w:type="gramStart"/>
      <w:r>
        <w:rPr>
          <w:bCs/>
          <w:sz w:val="24"/>
          <w:szCs w:val="24"/>
        </w:rPr>
        <w:t>.р</w:t>
      </w:r>
      <w:proofErr w:type="gramEnd"/>
      <w:r>
        <w:rPr>
          <w:bCs/>
          <w:sz w:val="24"/>
          <w:szCs w:val="24"/>
        </w:rPr>
        <w:t xml:space="preserve">уб., из них за счет средств областного бюджета 589,67 тыс.руб. (оказана консультационная помощь 644 субъектам малого и среднего предпринимательства, проведено 5 семинаров и  1 тренинг </w:t>
      </w:r>
      <w:r>
        <w:rPr>
          <w:sz w:val="24"/>
          <w:szCs w:val="24"/>
        </w:rPr>
        <w:t>для субъектов предпринимательской деятельности, в которых приняло участие 99 человек</w:t>
      </w:r>
      <w:r>
        <w:rPr>
          <w:bCs/>
          <w:sz w:val="24"/>
          <w:szCs w:val="24"/>
        </w:rPr>
        <w:t xml:space="preserve">); </w:t>
      </w:r>
    </w:p>
    <w:p>
      <w:pPr>
        <w:pStyle w:val="af8"/>
        <w:numPr>
          <w:ilvl w:val="0"/>
          <w:numId w:val="27"/>
        </w:numPr>
        <w:tabs>
          <w:tab w:val="left" w:pos="1134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развитие и обеспечение деятельности бизнес-инкубатора ЗАТО Северск –         2 851,72 тыс</w:t>
      </w:r>
      <w:proofErr w:type="gramStart"/>
      <w:r>
        <w:rPr>
          <w:bCs/>
          <w:sz w:val="24"/>
          <w:szCs w:val="24"/>
        </w:rPr>
        <w:t>.р</w:t>
      </w:r>
      <w:proofErr w:type="gramEnd"/>
      <w:r>
        <w:rPr>
          <w:bCs/>
          <w:sz w:val="24"/>
          <w:szCs w:val="24"/>
        </w:rPr>
        <w:t>уб., из них за счет средств областного бюджета 2 251,72 тыс.руб. (в бизнес-инкубаторе размещено 11 резидентов),</w:t>
      </w:r>
    </w:p>
    <w:p>
      <w:pPr>
        <w:pStyle w:val="af8"/>
        <w:tabs>
          <w:tab w:val="left" w:pos="1134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 предоставление субсидии Фонду «</w:t>
      </w:r>
      <w:proofErr w:type="spellStart"/>
      <w:r>
        <w:rPr>
          <w:bCs/>
          <w:sz w:val="24"/>
          <w:szCs w:val="24"/>
        </w:rPr>
        <w:t>Микрофинансовая</w:t>
      </w:r>
      <w:proofErr w:type="spellEnd"/>
      <w:r>
        <w:rPr>
          <w:bCs/>
          <w:sz w:val="24"/>
          <w:szCs w:val="24"/>
        </w:rPr>
        <w:t xml:space="preserve"> организация фонд развития малого и среднего предпринимательства ЗАТО Северск» на пополнение фондов на выдачу </w:t>
      </w:r>
      <w:proofErr w:type="spellStart"/>
      <w:r>
        <w:rPr>
          <w:bCs/>
          <w:sz w:val="24"/>
          <w:szCs w:val="24"/>
        </w:rPr>
        <w:t>микрозаймов</w:t>
      </w:r>
      <w:proofErr w:type="spellEnd"/>
      <w:r>
        <w:rPr>
          <w:bCs/>
          <w:sz w:val="24"/>
          <w:szCs w:val="24"/>
        </w:rPr>
        <w:t xml:space="preserve"> в объеме 6 256,01 тыс.руб. (из них 4 250,00 тыс. руб. за счет средств областного бюджета) - выдан 41 </w:t>
      </w:r>
      <w:proofErr w:type="spellStart"/>
      <w:r>
        <w:rPr>
          <w:bCs/>
          <w:sz w:val="24"/>
          <w:szCs w:val="24"/>
        </w:rPr>
        <w:t>микрозайм</w:t>
      </w:r>
      <w:proofErr w:type="spellEnd"/>
      <w:r>
        <w:rPr>
          <w:bCs/>
          <w:sz w:val="24"/>
          <w:szCs w:val="24"/>
        </w:rPr>
        <w:t>,</w:t>
      </w:r>
    </w:p>
    <w:p>
      <w:pPr>
        <w:ind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 предоставление финансовой поддержки субъектам малого и среднего предпринимательства ЗАТО Северск в объеме 11 080,97 тыс. руб., в том числе: </w:t>
      </w:r>
    </w:p>
    <w:p>
      <w:pPr>
        <w:pStyle w:val="af8"/>
        <w:numPr>
          <w:ilvl w:val="0"/>
          <w:numId w:val="31"/>
        </w:numPr>
        <w:tabs>
          <w:tab w:val="left" w:pos="1134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участие в региональном проекте «Акселерация субъектов малого и среднего предпринимательства» - 10 851,87 тыс. руб. (в том числе: 10 000,00 тыс. руб. за счет средств федерального бюджета; 309,28 тыс. руб. за счет средств областного бюджета, 542,59 тыс. руб. за счет средств местного бюджета) – поддержку получили 11 предпринимателей, занимающихся социально-значимыми видами деятельности;</w:t>
      </w:r>
    </w:p>
    <w:p>
      <w:pPr>
        <w:pStyle w:val="af8"/>
        <w:numPr>
          <w:ilvl w:val="0"/>
          <w:numId w:val="31"/>
        </w:numPr>
        <w:tabs>
          <w:tab w:val="left" w:pos="1134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обеспечение субъектов малого и среднего предпринимательства справочно-информационными материалами, проведение семинаров - 112,67 тыс. руб.; </w:t>
      </w:r>
    </w:p>
    <w:p>
      <w:pPr>
        <w:pStyle w:val="af8"/>
        <w:numPr>
          <w:ilvl w:val="0"/>
          <w:numId w:val="28"/>
        </w:numPr>
        <w:tabs>
          <w:tab w:val="left" w:pos="1134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организация и проведение мероприятий в сфере предпринимательства, ориентированных на молодежь, включая школьников - 116,43 тыс</w:t>
      </w:r>
      <w:proofErr w:type="gramStart"/>
      <w:r>
        <w:rPr>
          <w:bCs/>
          <w:sz w:val="24"/>
          <w:szCs w:val="24"/>
        </w:rPr>
        <w:t>.р</w:t>
      </w:r>
      <w:proofErr w:type="gramEnd"/>
      <w:r>
        <w:rPr>
          <w:bCs/>
          <w:sz w:val="24"/>
          <w:szCs w:val="24"/>
        </w:rPr>
        <w:t xml:space="preserve">уб. (на базе МАОУ </w:t>
      </w:r>
      <w:r>
        <w:rPr>
          <w:bCs/>
          <w:sz w:val="24"/>
          <w:szCs w:val="24"/>
        </w:rPr>
        <w:lastRenderedPageBreak/>
        <w:t>«СОШ № 80» прошли деловая экономическая игра «В городе ЭКОНО» и конкурс бизнес-идей среди школьников);</w:t>
      </w:r>
    </w:p>
    <w:p>
      <w:pPr>
        <w:ind w:firstLine="720"/>
        <w:jc w:val="both"/>
        <w:rPr>
          <w:sz w:val="24"/>
          <w:szCs w:val="24"/>
        </w:rPr>
      </w:pPr>
      <w:r>
        <w:rPr>
          <w:bCs/>
          <w:sz w:val="24"/>
          <w:szCs w:val="24"/>
        </w:rPr>
        <w:t>-  реализацию мер, направленных на формирование положительного образа субъекта предпринимательства в объеме 390,40 тыс. руб., в том числе: на организацию       и проведение мероприятий в</w:t>
      </w:r>
      <w:r>
        <w:rPr>
          <w:sz w:val="24"/>
          <w:szCs w:val="24"/>
        </w:rPr>
        <w:t xml:space="preserve"> рамках празднования Дня российского     предпринимательства – 108,26 тыс. руб., (в том числе: 85,04 тыс. руб. - организация мероприятий,  18,22 тыс. руб. - приобретение призов, 5,00 тыс. руб. – приобретение футболок участникам межрайонной игры «БизнесСиада-2019»)</w:t>
      </w:r>
      <w:r>
        <w:rPr>
          <w:bCs/>
          <w:sz w:val="24"/>
          <w:szCs w:val="24"/>
        </w:rPr>
        <w:t xml:space="preserve">, проведение конкурса на звание лучшего субъекта предпринимательской деятельности – 222,14 тыс. руб., </w:t>
      </w:r>
      <w:r>
        <w:rPr>
          <w:sz w:val="24"/>
          <w:szCs w:val="24"/>
        </w:rPr>
        <w:t>иных профессиональных конкурсов в предпринимательской среде (проведен городской конкурс на лучший объект общественного питания) – 60,00 тыс. руб.</w:t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Субъектами предпринимательской деятельности, получившими поддержку в рамках муниципальной программы, создано 104 рабочих места.</w:t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Ключевым событием для ЗАТО Северск стало создание на его территории в феврале 2019 года территории опережающего социально-экономического развития «Северск» (ТОР «Северск»), резидентами которой уже стали две организации ЗАТО Северск: ООО НПК «ВАБ-70» и ООО «Сибирский титан», которыми создано 120 рабочих мест.</w:t>
      </w:r>
    </w:p>
    <w:p>
      <w:pPr>
        <w:ind w:right="55"/>
        <w:jc w:val="both"/>
        <w:rPr>
          <w:bCs/>
          <w:sz w:val="26"/>
          <w:szCs w:val="26"/>
          <w:highlight w:val="yellow"/>
        </w:rPr>
      </w:pPr>
    </w:p>
    <w:p>
      <w:pPr>
        <w:ind w:right="55"/>
        <w:jc w:val="center"/>
        <w:rPr>
          <w:b/>
          <w:bCs/>
          <w:i/>
          <w:sz w:val="24"/>
          <w:szCs w:val="24"/>
        </w:rPr>
      </w:pPr>
      <w:r>
        <w:rPr>
          <w:b/>
          <w:bCs/>
          <w:i/>
          <w:sz w:val="24"/>
          <w:szCs w:val="24"/>
        </w:rPr>
        <w:t>4.1.5.2. Муниципальная программа</w:t>
      </w:r>
    </w:p>
    <w:p>
      <w:pPr>
        <w:spacing w:after="160"/>
        <w:ind w:right="57"/>
        <w:jc w:val="center"/>
        <w:rPr>
          <w:b/>
          <w:bCs/>
          <w:i/>
          <w:sz w:val="24"/>
          <w:szCs w:val="24"/>
        </w:rPr>
      </w:pPr>
      <w:r>
        <w:rPr>
          <w:b/>
          <w:bCs/>
          <w:i/>
          <w:sz w:val="24"/>
          <w:szCs w:val="24"/>
        </w:rPr>
        <w:t>«Развитие физической культуры и спорта в ЗАТО Северск»</w:t>
      </w:r>
    </w:p>
    <w:p>
      <w:pPr>
        <w:ind w:right="55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Программа исполнена в общей сумме 340 024,50 тыс.руб. ответственным исполнителем </w:t>
      </w:r>
      <w:r>
        <w:rPr>
          <w:sz w:val="24"/>
          <w:szCs w:val="24"/>
        </w:rPr>
        <w:t>УМСП КиС</w:t>
      </w:r>
      <w:r>
        <w:rPr>
          <w:bCs/>
          <w:sz w:val="24"/>
          <w:szCs w:val="24"/>
        </w:rPr>
        <w:t xml:space="preserve"> в сумме </w:t>
      </w:r>
      <w:r>
        <w:rPr>
          <w:sz w:val="24"/>
          <w:szCs w:val="24"/>
        </w:rPr>
        <w:t xml:space="preserve">339 530,09 </w:t>
      </w:r>
      <w:r>
        <w:rPr>
          <w:bCs/>
          <w:sz w:val="24"/>
          <w:szCs w:val="24"/>
        </w:rPr>
        <w:t>тыс.руб., а также участником программы УКС Администрации ЗАТО Северск в сумме 494,41 тыс.руб.</w:t>
      </w:r>
    </w:p>
    <w:p>
      <w:pPr>
        <w:ind w:right="55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Бюджетные ассигнования направлены на:</w:t>
      </w:r>
    </w:p>
    <w:p>
      <w:pPr>
        <w:ind w:right="55" w:firstLine="708"/>
        <w:jc w:val="both"/>
        <w:rPr>
          <w:bCs/>
          <w:sz w:val="24"/>
          <w:szCs w:val="24"/>
        </w:rPr>
      </w:pPr>
      <w:r>
        <w:rPr>
          <w:sz w:val="24"/>
          <w:szCs w:val="24"/>
        </w:rPr>
        <w:t>-</w:t>
      </w:r>
      <w:r>
        <w:rPr>
          <w:sz w:val="24"/>
          <w:szCs w:val="24"/>
          <w:lang w:val="en-US"/>
        </w:rPr>
        <w:t> </w:t>
      </w:r>
      <w:r>
        <w:rPr>
          <w:sz w:val="24"/>
          <w:szCs w:val="24"/>
        </w:rPr>
        <w:t>ПСД на капитальный ремонт здания МБУ ДО ДЮСШ «Русь» в объеме                     494,41 тыс.руб</w:t>
      </w:r>
      <w:r>
        <w:rPr>
          <w:bCs/>
          <w:sz w:val="24"/>
          <w:szCs w:val="24"/>
        </w:rPr>
        <w:t>.;</w:t>
      </w:r>
    </w:p>
    <w:p>
      <w:pPr>
        <w:ind w:right="55" w:firstLine="708"/>
        <w:jc w:val="both"/>
        <w:rPr>
          <w:sz w:val="24"/>
          <w:szCs w:val="24"/>
          <w:highlight w:val="yellow"/>
        </w:rPr>
      </w:pPr>
      <w:r>
        <w:rPr>
          <w:bCs/>
          <w:sz w:val="24"/>
          <w:szCs w:val="24"/>
        </w:rPr>
        <w:t xml:space="preserve">- организацию предоставления дополнительного образования детей в шести учреждениях физкультурно-спортивной направленности в объеме </w:t>
      </w:r>
      <w:r>
        <w:rPr>
          <w:sz w:val="24"/>
          <w:szCs w:val="24"/>
        </w:rPr>
        <w:t>316 082,98</w:t>
      </w:r>
      <w:r>
        <w:rPr>
          <w:bCs/>
          <w:sz w:val="24"/>
          <w:szCs w:val="24"/>
        </w:rPr>
        <w:t xml:space="preserve"> тыс.руб.</w:t>
      </w:r>
      <w:r>
        <w:rPr>
          <w:sz w:val="24"/>
          <w:szCs w:val="24"/>
        </w:rPr>
        <w:t xml:space="preserve">; количество обучающихся в учреждениях физкультурно-спортивной направленности составило 4 137 чел., или 28,5% от общей численности детей и молодежи </w:t>
      </w:r>
      <w:r>
        <w:rPr>
          <w:sz w:val="24"/>
          <w:szCs w:val="24"/>
        </w:rPr>
        <w:br/>
        <w:t>в возрасте 5 - 18 лет.</w:t>
      </w:r>
    </w:p>
    <w:p>
      <w:pPr>
        <w:ind w:right="55" w:firstLine="708"/>
        <w:jc w:val="both"/>
        <w:rPr>
          <w:bCs/>
          <w:sz w:val="24"/>
          <w:szCs w:val="24"/>
        </w:rPr>
      </w:pPr>
      <w:r>
        <w:rPr>
          <w:sz w:val="24"/>
          <w:szCs w:val="24"/>
        </w:rPr>
        <w:t>В рамках выполнения муниципального задания на оказание муниципальных услуг муниципальными учреждениями дополнительного образования физкультурно-спортивной направленности ЗАТО Северск осуществлено финансовое обеспечение:</w:t>
      </w:r>
    </w:p>
    <w:p>
      <w:pPr>
        <w:ind w:right="55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1) 155 459,93 тыс.руб. на реализацию дополнительных общеразвивающих программ, </w:t>
      </w:r>
      <w:r>
        <w:rPr>
          <w:sz w:val="24"/>
          <w:szCs w:val="24"/>
        </w:rPr>
        <w:t xml:space="preserve">количество обучающихся </w:t>
      </w:r>
      <w:r>
        <w:rPr>
          <w:bCs/>
          <w:sz w:val="24"/>
          <w:szCs w:val="24"/>
        </w:rPr>
        <w:t xml:space="preserve">в которой </w:t>
      </w:r>
      <w:r>
        <w:rPr>
          <w:sz w:val="24"/>
          <w:szCs w:val="24"/>
        </w:rPr>
        <w:t>составило 2 160 чел.;</w:t>
      </w:r>
    </w:p>
    <w:p>
      <w:pPr>
        <w:ind w:right="55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2) 86 611,18 тыс.руб. на реализацию программ спортивной подготовки </w:t>
      </w:r>
      <w:r>
        <w:rPr>
          <w:bCs/>
          <w:sz w:val="24"/>
          <w:szCs w:val="24"/>
        </w:rPr>
        <w:br/>
        <w:t xml:space="preserve">по олимпийским видам спорта, </w:t>
      </w:r>
      <w:r>
        <w:rPr>
          <w:sz w:val="24"/>
          <w:szCs w:val="24"/>
        </w:rPr>
        <w:t xml:space="preserve">количество обучающихся </w:t>
      </w:r>
      <w:r>
        <w:rPr>
          <w:bCs/>
          <w:sz w:val="24"/>
          <w:szCs w:val="24"/>
        </w:rPr>
        <w:t xml:space="preserve">в которой </w:t>
      </w:r>
      <w:r>
        <w:rPr>
          <w:sz w:val="24"/>
          <w:szCs w:val="24"/>
        </w:rPr>
        <w:t>составило 1 750 чел.;</w:t>
      </w:r>
    </w:p>
    <w:p>
      <w:pPr>
        <w:ind w:right="55" w:firstLine="708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3) 6 899,11 тыс.руб. на реализацию программ спортивной подготовки </w:t>
      </w:r>
      <w:r>
        <w:rPr>
          <w:bCs/>
          <w:sz w:val="24"/>
          <w:szCs w:val="24"/>
        </w:rPr>
        <w:br/>
        <w:t xml:space="preserve">по неолимпийским видам спорта, </w:t>
      </w:r>
      <w:r>
        <w:rPr>
          <w:sz w:val="24"/>
          <w:szCs w:val="24"/>
        </w:rPr>
        <w:t xml:space="preserve">количество обучающихся </w:t>
      </w:r>
      <w:r>
        <w:rPr>
          <w:bCs/>
          <w:sz w:val="24"/>
          <w:szCs w:val="24"/>
        </w:rPr>
        <w:t xml:space="preserve">в которой </w:t>
      </w:r>
      <w:r>
        <w:rPr>
          <w:sz w:val="24"/>
          <w:szCs w:val="24"/>
        </w:rPr>
        <w:t>составило 227 чел.</w:t>
      </w:r>
    </w:p>
    <w:p>
      <w:pPr>
        <w:ind w:right="55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 проведение официальных физкультурных и спортивных мероприятий, в объеме </w:t>
      </w:r>
      <w:r>
        <w:rPr>
          <w:sz w:val="24"/>
          <w:szCs w:val="24"/>
        </w:rPr>
        <w:t>2 370,29</w:t>
      </w:r>
      <w:r>
        <w:rPr>
          <w:bCs/>
          <w:sz w:val="24"/>
          <w:szCs w:val="24"/>
        </w:rPr>
        <w:t xml:space="preserve"> тыс.руб.</w:t>
      </w:r>
      <w:r>
        <w:rPr>
          <w:sz w:val="24"/>
          <w:szCs w:val="24"/>
        </w:rPr>
        <w:t>; количество участников физкультурных и спортивных мероприятий в 2019 году составило 25 500 чел.</w:t>
      </w:r>
      <w:r>
        <w:rPr>
          <w:bCs/>
          <w:sz w:val="24"/>
          <w:szCs w:val="24"/>
        </w:rPr>
        <w:t>;</w:t>
      </w:r>
    </w:p>
    <w:p>
      <w:pPr>
        <w:ind w:right="55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 участие в региональном проекте «Спорт – норма жизни», в общем объеме 18 306,72 тыс.руб.:</w:t>
      </w:r>
    </w:p>
    <w:p>
      <w:pPr>
        <w:ind w:right="55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1) расходы на оснащение объектов спортивной инфраструктуры спортивно-технологическим оборудованием в объеме 2 999,78 тыс.руб.;</w:t>
      </w:r>
    </w:p>
    <w:p>
      <w:pPr>
        <w:ind w:right="55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2) обеспечение условий для развития физической культуры и массового спорта в объеме 4 564,81 тыс.руб.; </w:t>
      </w:r>
    </w:p>
    <w:p>
      <w:pPr>
        <w:ind w:right="55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3) приобретение спортивного инвентаря, оборудования и спортивной экипировки для спортивных школ в объеме 10 742,13 тыс.руб.</w:t>
      </w:r>
    </w:p>
    <w:p>
      <w:pPr>
        <w:ind w:right="55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 обеспечение спортивных сборных команд ЗАТО Северск, реализацию мероприятий, направленных на социальную поддержку спортсменов и их тренеров в </w:t>
      </w:r>
      <w:r>
        <w:rPr>
          <w:bCs/>
          <w:sz w:val="24"/>
          <w:szCs w:val="24"/>
        </w:rPr>
        <w:lastRenderedPageBreak/>
        <w:t>объеме 1 970,10 тыс.руб., 306 спортсмена зачислено в составы сборных команд Томской области, 1 110</w:t>
      </w:r>
      <w:r>
        <w:rPr>
          <w:sz w:val="24"/>
          <w:szCs w:val="24"/>
        </w:rPr>
        <w:t xml:space="preserve"> спортсменов ЗАТО Северск приняли участие в соревнованиях регионального, всероссийского и международного уровней, 13 спортсменов получают стипендию ЗАТО Северск</w:t>
      </w:r>
      <w:r>
        <w:rPr>
          <w:bCs/>
          <w:sz w:val="24"/>
          <w:szCs w:val="24"/>
        </w:rPr>
        <w:t>;</w:t>
      </w:r>
    </w:p>
    <w:p>
      <w:pPr>
        <w:ind w:right="55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</w:t>
      </w:r>
      <w:r>
        <w:t> </w:t>
      </w:r>
      <w:r>
        <w:rPr>
          <w:sz w:val="24"/>
          <w:szCs w:val="24"/>
        </w:rPr>
        <w:t>р</w:t>
      </w:r>
      <w:r>
        <w:rPr>
          <w:bCs/>
          <w:sz w:val="24"/>
          <w:szCs w:val="24"/>
        </w:rPr>
        <w:t>азвитие детско-юношеского и массового хоккея в объеме 800,00 тыс.руб.</w:t>
      </w:r>
    </w:p>
    <w:p>
      <w:pPr>
        <w:ind w:right="55"/>
        <w:rPr>
          <w:bCs/>
          <w:i/>
          <w:color w:val="FF0000"/>
          <w:sz w:val="26"/>
          <w:szCs w:val="26"/>
          <w:highlight w:val="yellow"/>
        </w:rPr>
      </w:pPr>
    </w:p>
    <w:p>
      <w:pPr>
        <w:ind w:right="55"/>
        <w:jc w:val="center"/>
        <w:rPr>
          <w:b/>
          <w:bCs/>
          <w:i/>
          <w:sz w:val="24"/>
          <w:szCs w:val="24"/>
        </w:rPr>
      </w:pPr>
      <w:r>
        <w:rPr>
          <w:b/>
          <w:bCs/>
          <w:i/>
          <w:sz w:val="24"/>
          <w:szCs w:val="24"/>
        </w:rPr>
        <w:t>4.1.5.3. Муниципальная программа</w:t>
      </w:r>
    </w:p>
    <w:p>
      <w:pPr>
        <w:ind w:right="55"/>
        <w:jc w:val="center"/>
        <w:rPr>
          <w:b/>
          <w:bCs/>
          <w:i/>
          <w:sz w:val="24"/>
          <w:szCs w:val="24"/>
        </w:rPr>
      </w:pPr>
      <w:r>
        <w:rPr>
          <w:b/>
          <w:bCs/>
          <w:i/>
          <w:sz w:val="24"/>
          <w:szCs w:val="24"/>
        </w:rPr>
        <w:t>«Молодежная политика в ЗАТО Северск»</w:t>
      </w:r>
    </w:p>
    <w:p>
      <w:pPr>
        <w:ind w:right="55" w:firstLine="708"/>
        <w:jc w:val="both"/>
        <w:rPr>
          <w:bCs/>
          <w:sz w:val="16"/>
          <w:szCs w:val="16"/>
          <w:highlight w:val="yellow"/>
        </w:rPr>
      </w:pPr>
    </w:p>
    <w:p>
      <w:pPr>
        <w:ind w:right="55" w:firstLine="708"/>
        <w:jc w:val="both"/>
        <w:rPr>
          <w:bCs/>
          <w:sz w:val="24"/>
          <w:szCs w:val="24"/>
          <w:highlight w:val="yellow"/>
        </w:rPr>
      </w:pPr>
      <w:r>
        <w:rPr>
          <w:bCs/>
          <w:sz w:val="24"/>
          <w:szCs w:val="24"/>
        </w:rPr>
        <w:t xml:space="preserve">Программа исполнена в общей сумме 104 423,08 тыс.руб., в том числе ответственным исполнителем </w:t>
      </w:r>
      <w:r>
        <w:rPr>
          <w:sz w:val="24"/>
          <w:szCs w:val="24"/>
        </w:rPr>
        <w:t xml:space="preserve">УМСП КиС </w:t>
      </w:r>
      <w:r>
        <w:rPr>
          <w:bCs/>
          <w:sz w:val="24"/>
          <w:szCs w:val="24"/>
        </w:rPr>
        <w:t>в сумме 100 008,43</w:t>
      </w:r>
      <w:r>
        <w:rPr>
          <w:sz w:val="24"/>
          <w:szCs w:val="24"/>
        </w:rPr>
        <w:t> тыс.</w:t>
      </w:r>
      <w:r>
        <w:rPr>
          <w:bCs/>
          <w:sz w:val="24"/>
          <w:szCs w:val="24"/>
        </w:rPr>
        <w:t xml:space="preserve">руб., УМСП ФКиС в сумме 454,47 тыс.руб., а также участником программы УО в сумме 3 960,18 тыс.руб. </w:t>
      </w:r>
    </w:p>
    <w:p>
      <w:pPr>
        <w:ind w:right="55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Бюджетные ассигнования направлены на:</w:t>
      </w:r>
    </w:p>
    <w:p>
      <w:pPr>
        <w:ind w:right="55" w:firstLine="708"/>
        <w:jc w:val="both"/>
        <w:rPr>
          <w:bCs/>
          <w:sz w:val="24"/>
          <w:szCs w:val="24"/>
          <w:highlight w:val="yellow"/>
        </w:rPr>
      </w:pPr>
      <w:r>
        <w:rPr>
          <w:bCs/>
          <w:sz w:val="24"/>
          <w:szCs w:val="24"/>
        </w:rPr>
        <w:t xml:space="preserve">- обеспечение временной занятости и трудоустройства несовершеннолетних </w:t>
      </w:r>
      <w:r>
        <w:rPr>
          <w:bCs/>
          <w:sz w:val="24"/>
          <w:szCs w:val="24"/>
        </w:rPr>
        <w:br/>
        <w:t xml:space="preserve">в возрасте от 14 до 17 лет (включительно) в свободное от учебы время, содействие развитию молодежных трудовых отрядов в объеме 1 849,79 тыс.руб. (мероприятиями охвачено 678 чел. или 17,4% от </w:t>
      </w:r>
      <w:r>
        <w:rPr>
          <w:sz w:val="24"/>
          <w:szCs w:val="24"/>
        </w:rPr>
        <w:t xml:space="preserve">общей численности детей и подростков в возрасте от 14 </w:t>
      </w:r>
      <w:r>
        <w:rPr>
          <w:sz w:val="24"/>
          <w:szCs w:val="24"/>
        </w:rPr>
        <w:br/>
        <w:t>до 18 лет)</w:t>
      </w:r>
      <w:r>
        <w:rPr>
          <w:bCs/>
          <w:sz w:val="24"/>
          <w:szCs w:val="24"/>
        </w:rPr>
        <w:t>;</w:t>
      </w:r>
    </w:p>
    <w:p>
      <w:pPr>
        <w:ind w:right="55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 реализацию молодежной политики ЗАТО Северск в объеме 656,00 тыс.руб.</w:t>
      </w:r>
      <w:r>
        <w:rPr>
          <w:sz w:val="24"/>
          <w:szCs w:val="24"/>
        </w:rPr>
        <w:t xml:space="preserve"> (участие в мероприятиях, направленных на гражданское и патриотическое воспитание приняли 10% от общей численности молодежи в возрасте от 14 до 30 лет)</w:t>
      </w:r>
      <w:r>
        <w:rPr>
          <w:bCs/>
          <w:sz w:val="24"/>
          <w:szCs w:val="24"/>
        </w:rPr>
        <w:t>;</w:t>
      </w:r>
    </w:p>
    <w:p>
      <w:pPr>
        <w:ind w:right="55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 обеспечение отдыха и оздоровления детей в объеме 72 464,70 тыс.руб. (</w:t>
      </w:r>
      <w:r>
        <w:rPr>
          <w:sz w:val="24"/>
          <w:szCs w:val="24"/>
        </w:rPr>
        <w:t>охвачены</w:t>
      </w:r>
      <w:r>
        <w:rPr>
          <w:bCs/>
          <w:sz w:val="24"/>
          <w:szCs w:val="24"/>
        </w:rPr>
        <w:t xml:space="preserve"> 4 218 детей</w:t>
      </w:r>
      <w:r>
        <w:rPr>
          <w:sz w:val="24"/>
          <w:szCs w:val="24"/>
        </w:rPr>
        <w:t xml:space="preserve"> или 41,2% от общего числа детей школьного возраста)</w:t>
      </w:r>
      <w:r>
        <w:rPr>
          <w:bCs/>
          <w:sz w:val="24"/>
          <w:szCs w:val="24"/>
        </w:rPr>
        <w:t>;</w:t>
      </w:r>
    </w:p>
    <w:p>
      <w:pPr>
        <w:ind w:right="55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 обеспечение жильем молодых семей ЗАТО Северск в объеме 8 668,80 тыс.руб., в том числе: за счет средств федерального бюджета 1 672,71 тыс. руб., за счет средств областного бюджета 3 000,00 тыс. руб., за счет средств местного бюджета 3 996,09 тыс. руб. (выплаты из бюджета получили 21 молодая семья);</w:t>
      </w:r>
    </w:p>
    <w:p>
      <w:pPr>
        <w:ind w:right="55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 обеспечение деятельности ответственного исполнителя программы </w:t>
      </w:r>
      <w:r>
        <w:rPr>
          <w:sz w:val="24"/>
          <w:szCs w:val="24"/>
        </w:rPr>
        <w:t>УМСП КиС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br/>
        <w:t>в объеме 20 329,31 тыс.руб.;</w:t>
      </w:r>
    </w:p>
    <w:p>
      <w:pPr>
        <w:ind w:right="55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 обеспечение деятельности ответственного исполнителя программы </w:t>
      </w:r>
      <w:r>
        <w:rPr>
          <w:sz w:val="24"/>
          <w:szCs w:val="24"/>
        </w:rPr>
        <w:t>УМСП ФКиС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br/>
        <w:t>в объеме 454,47 тыс.руб.</w:t>
      </w:r>
    </w:p>
    <w:p>
      <w:pPr>
        <w:ind w:right="55"/>
        <w:jc w:val="center"/>
        <w:rPr>
          <w:bCs/>
          <w:color w:val="FF0000"/>
          <w:sz w:val="26"/>
          <w:szCs w:val="26"/>
          <w:highlight w:val="yellow"/>
        </w:rPr>
      </w:pPr>
    </w:p>
    <w:p>
      <w:pPr>
        <w:ind w:right="55"/>
        <w:jc w:val="center"/>
        <w:rPr>
          <w:b/>
          <w:bCs/>
          <w:i/>
          <w:sz w:val="24"/>
          <w:szCs w:val="24"/>
        </w:rPr>
      </w:pPr>
      <w:r>
        <w:rPr>
          <w:b/>
          <w:bCs/>
          <w:i/>
          <w:sz w:val="24"/>
          <w:szCs w:val="24"/>
        </w:rPr>
        <w:t>4.1.5.4. Муниципальная программа</w:t>
      </w:r>
    </w:p>
    <w:p>
      <w:pPr>
        <w:spacing w:after="120"/>
        <w:ind w:right="57"/>
        <w:jc w:val="center"/>
        <w:rPr>
          <w:b/>
          <w:bCs/>
          <w:i/>
          <w:sz w:val="24"/>
          <w:szCs w:val="24"/>
        </w:rPr>
      </w:pPr>
      <w:r>
        <w:rPr>
          <w:b/>
          <w:bCs/>
          <w:i/>
          <w:sz w:val="24"/>
          <w:szCs w:val="24"/>
        </w:rPr>
        <w:t>«Развитие культуры и туризма в ЗАТО Северск»</w:t>
      </w:r>
    </w:p>
    <w:p>
      <w:pPr>
        <w:ind w:right="55" w:firstLine="708"/>
        <w:jc w:val="both"/>
        <w:rPr>
          <w:bCs/>
          <w:sz w:val="24"/>
          <w:szCs w:val="24"/>
          <w:highlight w:val="yellow"/>
        </w:rPr>
      </w:pPr>
      <w:r>
        <w:rPr>
          <w:bCs/>
          <w:sz w:val="24"/>
          <w:szCs w:val="24"/>
        </w:rPr>
        <w:t xml:space="preserve">Программа исполнена в общей сумме 575 916,34 тыс.руб., в том числе ответственным исполнителем </w:t>
      </w:r>
      <w:r>
        <w:rPr>
          <w:sz w:val="24"/>
          <w:szCs w:val="24"/>
        </w:rPr>
        <w:t>УМСП КиС</w:t>
      </w:r>
      <w:r>
        <w:rPr>
          <w:bCs/>
          <w:sz w:val="24"/>
          <w:szCs w:val="24"/>
        </w:rPr>
        <w:t xml:space="preserve"> в сумме </w:t>
      </w:r>
      <w:r>
        <w:rPr>
          <w:sz w:val="24"/>
          <w:szCs w:val="24"/>
        </w:rPr>
        <w:t>508 471,61 тыс.</w:t>
      </w:r>
      <w:r>
        <w:rPr>
          <w:bCs/>
          <w:sz w:val="24"/>
          <w:szCs w:val="24"/>
        </w:rPr>
        <w:t xml:space="preserve">руб., Управлением культуры в сумме 205,69 тыс.руб., а также участником программы УКС в сумме 67 239,04 тыс.руб. </w:t>
      </w:r>
    </w:p>
    <w:p>
      <w:pPr>
        <w:ind w:right="55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Бюджетные ассигнования направлены на:</w:t>
      </w:r>
    </w:p>
    <w:p>
      <w:pPr>
        <w:ind w:right="55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 обеспечение деятельности учреждений дополнительного образования детей художественно-эстетической направленности в объеме 122 715,70 тыс.руб.</w:t>
      </w:r>
      <w:r>
        <w:rPr>
          <w:iCs/>
          <w:sz w:val="24"/>
          <w:szCs w:val="24"/>
        </w:rPr>
        <w:t xml:space="preserve"> (3 068 чел. </w:t>
      </w:r>
      <w:r>
        <w:rPr>
          <w:iCs/>
          <w:sz w:val="24"/>
          <w:szCs w:val="24"/>
        </w:rPr>
        <w:br/>
        <w:t>в возрасте 5 - 18 лет, получили услуги по дополнительному образованию</w:t>
      </w:r>
      <w:r>
        <w:rPr>
          <w:iCs/>
          <w:sz w:val="24"/>
          <w:szCs w:val="24"/>
        </w:rPr>
        <w:br/>
        <w:t>в муниципальных учреждениях дополнительного образования)</w:t>
      </w:r>
      <w:r>
        <w:rPr>
          <w:bCs/>
          <w:sz w:val="24"/>
          <w:szCs w:val="24"/>
        </w:rPr>
        <w:t>;</w:t>
      </w:r>
    </w:p>
    <w:p>
      <w:pPr>
        <w:ind w:right="55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 обеспечение деятельности 8 учреждений культуры в объеме 356 887,17 тыс.руб.;</w:t>
      </w:r>
    </w:p>
    <w:p>
      <w:pPr>
        <w:ind w:right="55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 организация мероприятий, направленных на развитие материально – технической базы учреждений культуры в объеме 88,00 тыс.руб.;</w:t>
      </w:r>
    </w:p>
    <w:p>
      <w:pPr>
        <w:ind w:right="55" w:firstLine="708"/>
        <w:jc w:val="both"/>
        <w:rPr>
          <w:bCs/>
          <w:sz w:val="24"/>
          <w:szCs w:val="24"/>
          <w:highlight w:val="yellow"/>
        </w:rPr>
      </w:pPr>
      <w:r>
        <w:rPr>
          <w:bCs/>
          <w:sz w:val="24"/>
          <w:szCs w:val="24"/>
        </w:rPr>
        <w:t xml:space="preserve">- организацию и проведение культурно-массовых и творческих мероприятий </w:t>
      </w:r>
      <w:r>
        <w:rPr>
          <w:bCs/>
          <w:sz w:val="24"/>
          <w:szCs w:val="24"/>
        </w:rPr>
        <w:br/>
        <w:t>в объеме 12 024,41 тыс.руб. (</w:t>
      </w:r>
      <w:r>
        <w:rPr>
          <w:sz w:val="24"/>
          <w:szCs w:val="24"/>
        </w:rPr>
        <w:t>664,8 тыс.чел. посетили культурно-досуговые мероприятия, организованные муниципальными учреждениями культуры; 14 чел. получают стипендию ЗАТО Северск за достижения в области культуры и искусств)</w:t>
      </w:r>
      <w:r>
        <w:rPr>
          <w:bCs/>
          <w:sz w:val="24"/>
          <w:szCs w:val="24"/>
        </w:rPr>
        <w:t>;</w:t>
      </w:r>
    </w:p>
    <w:p>
      <w:pPr>
        <w:ind w:right="55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 организация мероприятий, направленных на поддержку творческой деятельности муниципальных учреждений культуры, их работников и иных организаций в сфере культуры в объеме 16 489,23 тыс.руб.;</w:t>
      </w:r>
    </w:p>
    <w:p>
      <w:pPr>
        <w:ind w:right="55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>- капитальный ремонт объектов культуры в объеме 67 239,04 тыс.руб. (капитальный ремонт системы отопления, вентиляции и кондиционирования МАУ «ГДК» в г. Северске - 3 062,67 тыс.руб.; ПСД и капитальный ремонт здания МБУ «</w:t>
      </w:r>
      <w:proofErr w:type="spellStart"/>
      <w:r>
        <w:rPr>
          <w:bCs/>
          <w:sz w:val="24"/>
          <w:szCs w:val="24"/>
        </w:rPr>
        <w:t>Самуський</w:t>
      </w:r>
      <w:proofErr w:type="spellEnd"/>
      <w:r>
        <w:rPr>
          <w:bCs/>
          <w:sz w:val="24"/>
          <w:szCs w:val="24"/>
        </w:rPr>
        <w:t xml:space="preserve"> ДК» - 64 093,79 тыс.руб.; ПСД на капитальный ремонт кровли МБОУ ДОД «Художественная школа» - 82,58 тыс.руб.);</w:t>
      </w:r>
    </w:p>
    <w:p>
      <w:pPr>
        <w:ind w:firstLine="708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-  развитие внутреннего и въездного туризма на территории ЗАТО Северск </w:t>
      </w:r>
      <w:r>
        <w:rPr>
          <w:bCs/>
          <w:sz w:val="24"/>
          <w:szCs w:val="24"/>
        </w:rPr>
        <w:br/>
        <w:t>в объеме 267,10 тыс.руб.</w:t>
      </w:r>
      <w:r>
        <w:rPr>
          <w:sz w:val="24"/>
          <w:szCs w:val="24"/>
        </w:rPr>
        <w:t xml:space="preserve"> (1,67 тыс.чел. иногородних туристов, посетили туристские объекты ЗАТО Северск);</w:t>
      </w:r>
    </w:p>
    <w:p>
      <w:pPr>
        <w:ind w:right="55" w:firstLine="708"/>
        <w:jc w:val="both"/>
        <w:rPr>
          <w:sz w:val="22"/>
          <w:szCs w:val="22"/>
        </w:rPr>
      </w:pPr>
      <w:r>
        <w:rPr>
          <w:bCs/>
          <w:sz w:val="24"/>
          <w:szCs w:val="24"/>
        </w:rPr>
        <w:t xml:space="preserve">- обеспечение деятельности ответственного исполнителя программы </w:t>
      </w:r>
      <w:r>
        <w:rPr>
          <w:sz w:val="24"/>
          <w:szCs w:val="24"/>
        </w:rPr>
        <w:t>УК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br/>
        <w:t>в объеме 205,69 тыс.руб.</w:t>
      </w:r>
    </w:p>
    <w:p>
      <w:pPr>
        <w:ind w:right="55"/>
        <w:jc w:val="center"/>
        <w:rPr>
          <w:b/>
          <w:bCs/>
          <w:i/>
          <w:sz w:val="26"/>
          <w:szCs w:val="26"/>
          <w:highlight w:val="yellow"/>
        </w:rPr>
      </w:pPr>
    </w:p>
    <w:p>
      <w:pPr>
        <w:ind w:right="55"/>
        <w:jc w:val="center"/>
        <w:rPr>
          <w:b/>
          <w:bCs/>
          <w:i/>
          <w:sz w:val="24"/>
          <w:szCs w:val="24"/>
        </w:rPr>
      </w:pPr>
      <w:r>
        <w:rPr>
          <w:b/>
          <w:bCs/>
          <w:i/>
          <w:sz w:val="24"/>
          <w:szCs w:val="24"/>
        </w:rPr>
        <w:t>4.1.5.5. Муниципальная программа</w:t>
      </w:r>
    </w:p>
    <w:p>
      <w:pPr>
        <w:spacing w:after="120"/>
        <w:ind w:right="57"/>
        <w:jc w:val="center"/>
        <w:rPr>
          <w:b/>
          <w:bCs/>
          <w:i/>
          <w:sz w:val="24"/>
          <w:szCs w:val="24"/>
        </w:rPr>
      </w:pPr>
      <w:r>
        <w:rPr>
          <w:b/>
          <w:bCs/>
          <w:i/>
          <w:sz w:val="24"/>
          <w:szCs w:val="24"/>
        </w:rPr>
        <w:t>«Развитие образования в ЗАТО Северск»</w:t>
      </w:r>
    </w:p>
    <w:p>
      <w:pPr>
        <w:ind w:right="55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Программа исполнена в общей сумме </w:t>
      </w:r>
      <w:r>
        <w:rPr>
          <w:sz w:val="24"/>
          <w:szCs w:val="24"/>
        </w:rPr>
        <w:t xml:space="preserve">2 146 699,22 </w:t>
      </w:r>
      <w:r>
        <w:rPr>
          <w:bCs/>
          <w:sz w:val="24"/>
          <w:szCs w:val="24"/>
        </w:rPr>
        <w:t>тыс.руб., в том числе ответственным исполнителем Управлением образования в сумме 2 127 234,51 тыс.руб., а также участниками программы УКС в сумме 373,90 тыс.руб. и УИО в сумме 19 090,80 тыс.руб.</w:t>
      </w:r>
    </w:p>
    <w:p>
      <w:pPr>
        <w:spacing w:before="60"/>
        <w:ind w:right="57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Бюджетные ассигнования направлены на:</w:t>
      </w:r>
    </w:p>
    <w:p>
      <w:pPr>
        <w:spacing w:before="40"/>
        <w:ind w:right="57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 организацию деятельности 22 дошкольных образовательных организаций (количество воспитанников составило 6 488 чел.), 18 общеобразовательных организаций (количество обучающихся составило 11 105 чел.) и 1 организации дополнительного образования детей (количество обучающихся составило 799 чел.) на общую сумму 2 033 917,88 тыс.руб.;</w:t>
      </w:r>
    </w:p>
    <w:p>
      <w:pPr>
        <w:spacing w:before="40"/>
        <w:ind w:right="57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 организацию деятельности МАУ ЗАТО Северск «Ресурсный центр образования» и МКУ ЗАТО Северск «Централизованная бухгалтерия образовательных учреждений» </w:t>
      </w:r>
      <w:r>
        <w:rPr>
          <w:bCs/>
          <w:sz w:val="24"/>
          <w:szCs w:val="24"/>
        </w:rPr>
        <w:br/>
        <w:t>на общую сумму 62 983,19 тыс.руб.;</w:t>
      </w:r>
    </w:p>
    <w:p>
      <w:pPr>
        <w:spacing w:before="40"/>
        <w:ind w:right="57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 участие в региональном проекте «Современная школа» - 1 600,3 тыс.руб.;</w:t>
      </w:r>
    </w:p>
    <w:p>
      <w:pPr>
        <w:spacing w:before="40"/>
        <w:ind w:right="57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 участие в региональном проекте «Цифровая образовательная среда» - 2 770,9 тыс.руб.;</w:t>
      </w:r>
    </w:p>
    <w:p>
      <w:pPr>
        <w:spacing w:before="40"/>
        <w:ind w:right="57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 участие в региональном проекте «Успех каждого ребенка» - 1 366,50 тыс.руб.;</w:t>
      </w:r>
    </w:p>
    <w:p>
      <w:pPr>
        <w:spacing w:before="40"/>
        <w:ind w:right="57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 капитальный ремонт образовательных учреждений в сумме 104,09 тыс</w:t>
      </w:r>
      <w:proofErr w:type="gramStart"/>
      <w:r>
        <w:rPr>
          <w:bCs/>
          <w:sz w:val="24"/>
          <w:szCs w:val="24"/>
        </w:rPr>
        <w:t>.р</w:t>
      </w:r>
      <w:proofErr w:type="gramEnd"/>
      <w:r>
        <w:rPr>
          <w:bCs/>
          <w:sz w:val="24"/>
          <w:szCs w:val="24"/>
        </w:rPr>
        <w:t>уб.                  (из них: ПСД на капитальный ремонт кровли МБДОУ «Детский сад № 55» -                 97,93 тыс</w:t>
      </w:r>
      <w:proofErr w:type="gramStart"/>
      <w:r>
        <w:rPr>
          <w:bCs/>
          <w:sz w:val="24"/>
          <w:szCs w:val="24"/>
        </w:rPr>
        <w:t>.р</w:t>
      </w:r>
      <w:proofErr w:type="gramEnd"/>
      <w:r>
        <w:rPr>
          <w:bCs/>
          <w:sz w:val="24"/>
          <w:szCs w:val="24"/>
        </w:rPr>
        <w:t>уб.; капитальный ремонт благоустройства прилегающей территории к МБОУ «Северская школа-интернат для обучающихся с ограниченными возможностями здоровья» по адресу: Томская область, г. Северск, ул. Калинина, 104 (проверка сметы) – 6,16 тыс.руб.), реконструкция МБОУ "Самусьский лицей" (разработка техдокументации  на пристройку к спортивному залу) в пос.Самусь - 269,81 тыс.руб.;</w:t>
      </w:r>
    </w:p>
    <w:p>
      <w:pPr>
        <w:spacing w:before="40"/>
        <w:ind w:right="57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- развитие системы выявления, сопровождения и поддержки одаренных детей </w:t>
      </w:r>
      <w:r>
        <w:rPr>
          <w:bCs/>
          <w:sz w:val="24"/>
          <w:szCs w:val="24"/>
        </w:rPr>
        <w:br/>
        <w:t xml:space="preserve">в </w:t>
      </w:r>
      <w:r>
        <w:rPr>
          <w:bCs/>
          <w:color w:val="000000" w:themeColor="text1"/>
          <w:sz w:val="24"/>
          <w:szCs w:val="24"/>
        </w:rPr>
        <w:t>сумме 2 169,55 тыс.руб. (численность обучающихся, участвующих в олимпиадах и конкурсах различного уровня</w:t>
      </w:r>
      <w:r>
        <w:rPr>
          <w:bCs/>
          <w:sz w:val="24"/>
          <w:szCs w:val="24"/>
        </w:rPr>
        <w:t xml:space="preserve"> составила 5356 человек, пятидесяти обучающимся -  победителям и призерам всех этапов Всероссийской олимпиады школьников - выплачивались именные ежемесячные стипендии муниципального уровня);</w:t>
      </w:r>
    </w:p>
    <w:p>
      <w:pPr>
        <w:spacing w:before="40"/>
        <w:ind w:right="57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 развитие инфраструктуры образования ЗАТО Северск в сумме </w:t>
      </w:r>
      <w:r>
        <w:rPr>
          <w:bCs/>
          <w:sz w:val="24"/>
          <w:szCs w:val="24"/>
        </w:rPr>
        <w:br/>
        <w:t xml:space="preserve">1 588,08 тыс.руб. (приобретение </w:t>
      </w:r>
      <w:proofErr w:type="spellStart"/>
      <w:r>
        <w:rPr>
          <w:bCs/>
          <w:sz w:val="24"/>
          <w:szCs w:val="24"/>
        </w:rPr>
        <w:t>МАФов</w:t>
      </w:r>
      <w:proofErr w:type="spellEnd"/>
      <w:r>
        <w:rPr>
          <w:bCs/>
          <w:sz w:val="24"/>
          <w:szCs w:val="24"/>
        </w:rPr>
        <w:t>);</w:t>
      </w:r>
    </w:p>
    <w:p>
      <w:pPr>
        <w:spacing w:before="40"/>
        <w:ind w:right="57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 проведение мероприятий, направленных развитие профессиональной педагогической компетентности молодых специалистов, рост творческой активности педагогических работников на общую сумму 195,0 тыс.руб.; </w:t>
      </w:r>
    </w:p>
    <w:p>
      <w:pPr>
        <w:spacing w:before="40"/>
        <w:ind w:right="57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 обеспечение деятельности ответственного исполнителя программы в объеме 22 938,94 тыс.руб.</w:t>
      </w:r>
    </w:p>
    <w:p>
      <w:pPr>
        <w:ind w:right="55"/>
        <w:rPr>
          <w:bCs/>
          <w:sz w:val="24"/>
          <w:szCs w:val="24"/>
          <w:highlight w:val="yellow"/>
        </w:rPr>
      </w:pPr>
    </w:p>
    <w:p>
      <w:pPr>
        <w:ind w:right="55"/>
        <w:jc w:val="center"/>
        <w:rPr>
          <w:b/>
          <w:bCs/>
          <w:i/>
          <w:sz w:val="24"/>
          <w:szCs w:val="24"/>
        </w:rPr>
      </w:pPr>
    </w:p>
    <w:p>
      <w:pPr>
        <w:ind w:right="55"/>
        <w:jc w:val="center"/>
        <w:rPr>
          <w:b/>
          <w:bCs/>
          <w:i/>
          <w:sz w:val="10"/>
          <w:szCs w:val="10"/>
        </w:rPr>
      </w:pPr>
    </w:p>
    <w:p>
      <w:pPr>
        <w:ind w:right="55"/>
        <w:jc w:val="center"/>
        <w:rPr>
          <w:b/>
          <w:bCs/>
          <w:i/>
          <w:sz w:val="10"/>
          <w:szCs w:val="10"/>
        </w:rPr>
      </w:pPr>
    </w:p>
    <w:p>
      <w:pPr>
        <w:ind w:right="55"/>
        <w:jc w:val="center"/>
        <w:rPr>
          <w:b/>
          <w:bCs/>
          <w:i/>
          <w:sz w:val="10"/>
          <w:szCs w:val="10"/>
        </w:rPr>
      </w:pPr>
    </w:p>
    <w:p>
      <w:pPr>
        <w:ind w:right="55"/>
        <w:jc w:val="center"/>
        <w:rPr>
          <w:b/>
          <w:bCs/>
          <w:i/>
          <w:sz w:val="10"/>
          <w:szCs w:val="10"/>
        </w:rPr>
      </w:pPr>
    </w:p>
    <w:p>
      <w:pPr>
        <w:ind w:right="55"/>
        <w:jc w:val="center"/>
        <w:rPr>
          <w:b/>
          <w:bCs/>
          <w:i/>
          <w:sz w:val="24"/>
          <w:szCs w:val="24"/>
        </w:rPr>
      </w:pPr>
      <w:r>
        <w:rPr>
          <w:b/>
          <w:bCs/>
          <w:i/>
          <w:sz w:val="24"/>
          <w:szCs w:val="24"/>
        </w:rPr>
        <w:t>4.1.5.6. Муниципальная программа</w:t>
      </w:r>
    </w:p>
    <w:p>
      <w:pPr>
        <w:spacing w:after="160"/>
        <w:ind w:right="57"/>
        <w:jc w:val="center"/>
        <w:rPr>
          <w:b/>
          <w:bCs/>
          <w:i/>
          <w:sz w:val="24"/>
          <w:szCs w:val="24"/>
        </w:rPr>
      </w:pPr>
      <w:r>
        <w:rPr>
          <w:b/>
          <w:bCs/>
          <w:i/>
          <w:sz w:val="24"/>
          <w:szCs w:val="24"/>
        </w:rPr>
        <w:t>«Социальная поддержка населения ЗАТО Северск»</w:t>
      </w:r>
    </w:p>
    <w:p>
      <w:pPr>
        <w:tabs>
          <w:tab w:val="left" w:pos="709"/>
        </w:tabs>
        <w:ind w:right="55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Программа исполнена в общей сумме 141 883,49 тыс.руб. ответственным исполнителем Администрацией ЗАТО Северск в сумме 91 344,86 тыс.руб. и участником программы УЖКХ ТиС в сумме 50 538,63 тыс.руб. </w:t>
      </w:r>
    </w:p>
    <w:p>
      <w:pPr>
        <w:tabs>
          <w:tab w:val="left" w:pos="709"/>
        </w:tabs>
        <w:ind w:right="55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Бюджетные ассигнования направлены:</w:t>
      </w:r>
    </w:p>
    <w:p>
      <w:pPr>
        <w:tabs>
          <w:tab w:val="left" w:pos="709"/>
        </w:tabs>
        <w:ind w:right="55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 на предоставление дополнительных мер социальной поддержки отдельным категориям граждан ЗАТО Северск в сумме 76 531,72 тыс.руб., а именно:</w:t>
      </w:r>
    </w:p>
    <w:p>
      <w:pPr>
        <w:pStyle w:val="31"/>
        <w:shd w:val="clear" w:color="auto" w:fill="FFFFFF"/>
        <w:tabs>
          <w:tab w:val="clear" w:pos="5529"/>
          <w:tab w:val="left" w:pos="709"/>
        </w:tabs>
        <w:spacing w:before="40"/>
        <w:ind w:right="6"/>
        <w:rPr>
          <w:sz w:val="24"/>
          <w:szCs w:val="24"/>
        </w:rPr>
      </w:pPr>
      <w:r>
        <w:rPr>
          <w:bCs/>
          <w:sz w:val="24"/>
          <w:szCs w:val="24"/>
        </w:rPr>
        <w:t xml:space="preserve">   </w:t>
      </w:r>
      <w:r>
        <w:rPr>
          <w:bCs/>
          <w:sz w:val="24"/>
          <w:szCs w:val="24"/>
        </w:rPr>
        <w:tab/>
        <w:t>● предоставление мер социальной поддержки по оплате коммунальных услуг гражданам, проживающим на внегородских территориях ЗАТО Северск,</w:t>
      </w:r>
      <w:r>
        <w:rPr>
          <w:sz w:val="24"/>
          <w:szCs w:val="24"/>
        </w:rPr>
        <w:t xml:space="preserve"> в сумме                   25 093,91</w:t>
      </w:r>
      <w:r>
        <w:rPr>
          <w:bCs/>
          <w:sz w:val="24"/>
          <w:szCs w:val="24"/>
        </w:rPr>
        <w:t> тыс. руб. (меры социальной поддержки получили 5 033 человека);</w:t>
      </w:r>
    </w:p>
    <w:p>
      <w:pPr>
        <w:pStyle w:val="31"/>
        <w:shd w:val="clear" w:color="auto" w:fill="FFFFFF"/>
        <w:tabs>
          <w:tab w:val="clear" w:pos="5529"/>
          <w:tab w:val="left" w:pos="709"/>
        </w:tabs>
        <w:spacing w:before="40"/>
        <w:ind w:right="6"/>
        <w:rPr>
          <w:bCs/>
          <w:sz w:val="24"/>
          <w:szCs w:val="24"/>
        </w:rPr>
      </w:pPr>
      <w:r>
        <w:rPr>
          <w:bCs/>
          <w:sz w:val="24"/>
          <w:szCs w:val="24"/>
        </w:rPr>
        <w:tab/>
        <w:t>● оказание транспортных услуг населению по социально-значимым маршрутам в сумме 42 537,86 тыс.руб. (выполнено 27,42 тыс. рейсов МК ПТП);</w:t>
      </w:r>
      <w:r>
        <w:t xml:space="preserve"> </w:t>
      </w:r>
    </w:p>
    <w:p>
      <w:pPr>
        <w:pStyle w:val="31"/>
        <w:tabs>
          <w:tab w:val="clear" w:pos="5529"/>
          <w:tab w:val="left" w:pos="709"/>
        </w:tabs>
        <w:spacing w:before="40"/>
        <w:ind w:right="6" w:firstLine="709"/>
        <w:rPr>
          <w:sz w:val="24"/>
          <w:szCs w:val="24"/>
          <w:highlight w:val="yellow"/>
        </w:rPr>
      </w:pPr>
      <w:r>
        <w:rPr>
          <w:bCs/>
          <w:sz w:val="24"/>
          <w:szCs w:val="24"/>
        </w:rPr>
        <w:t xml:space="preserve">● </w:t>
      </w:r>
      <w:r>
        <w:rPr>
          <w:sz w:val="24"/>
          <w:szCs w:val="24"/>
        </w:rPr>
        <w:t>предоставление материальной помощи гражданам, оказавшимся в трудной жизненной ситуации, в сумме 2 494,26 тыс.руб. (363 чел.);</w:t>
      </w:r>
    </w:p>
    <w:p>
      <w:pPr>
        <w:pStyle w:val="31"/>
        <w:tabs>
          <w:tab w:val="clear" w:pos="5529"/>
          <w:tab w:val="left" w:pos="709"/>
        </w:tabs>
        <w:spacing w:before="40"/>
        <w:ind w:right="6" w:firstLine="709"/>
      </w:pPr>
      <w:r>
        <w:rPr>
          <w:bCs/>
          <w:sz w:val="24"/>
          <w:szCs w:val="24"/>
        </w:rPr>
        <w:t xml:space="preserve">● </w:t>
      </w:r>
      <w:r>
        <w:rPr>
          <w:sz w:val="24"/>
          <w:szCs w:val="24"/>
        </w:rPr>
        <w:t>оказание помощи в ремонте жилых помещений гражданам (93 чел.) из числа: ветеранов и инвалидов Великой Отечественной войны, бывшим несовершеннолетним узникам концлагерей, вдовам погибших (умерших) участников Великой Отечественной войны, не вступившим в повторный брак, в сумме 4 040,00 тыс.руб. (из них за счет средств областного бюджета 2 020,00 тыс. руб.);</w:t>
      </w:r>
    </w:p>
    <w:p>
      <w:pPr>
        <w:shd w:val="clear" w:color="auto" w:fill="FFFFFF"/>
        <w:tabs>
          <w:tab w:val="left" w:pos="709"/>
        </w:tabs>
        <w:spacing w:before="40"/>
        <w:ind w:right="6" w:firstLine="709"/>
        <w:jc w:val="both"/>
        <w:rPr>
          <w:bCs/>
          <w:sz w:val="24"/>
          <w:szCs w:val="24"/>
          <w:highlight w:val="yellow"/>
        </w:rPr>
      </w:pPr>
      <w:r>
        <w:rPr>
          <w:bCs/>
          <w:sz w:val="24"/>
          <w:szCs w:val="24"/>
        </w:rPr>
        <w:t>● предоставление единовременных денежных выплат отдельным категориям граждан в ознаменование годовщины Дня Победы советского народа в Великой Отечественной войне 1941-1945 годов в сумме 1 759,0 тыс.руб. (817 чел.);</w:t>
      </w:r>
    </w:p>
    <w:p>
      <w:pPr>
        <w:shd w:val="clear" w:color="auto" w:fill="FFFFFF"/>
        <w:tabs>
          <w:tab w:val="left" w:pos="709"/>
        </w:tabs>
        <w:spacing w:before="40"/>
        <w:ind w:right="6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●</w:t>
      </w:r>
      <w:r>
        <w:rPr>
          <w:sz w:val="24"/>
          <w:szCs w:val="24"/>
        </w:rPr>
        <w:t xml:space="preserve"> компенсацию оплаты жилого помещения и коммунальных услуг гражданам, награжденным орденом «Родительская слава»,</w:t>
      </w:r>
      <w:r>
        <w:rPr>
          <w:bCs/>
          <w:sz w:val="24"/>
          <w:szCs w:val="24"/>
        </w:rPr>
        <w:t xml:space="preserve"> в сумме 118,08 тыс. руб. </w:t>
      </w:r>
      <w:r>
        <w:rPr>
          <w:sz w:val="24"/>
          <w:szCs w:val="24"/>
        </w:rPr>
        <w:t>(1 семья)</w:t>
      </w:r>
      <w:r>
        <w:rPr>
          <w:bCs/>
          <w:sz w:val="24"/>
          <w:szCs w:val="24"/>
        </w:rPr>
        <w:t>;</w:t>
      </w:r>
    </w:p>
    <w:p>
      <w:pPr>
        <w:shd w:val="clear" w:color="auto" w:fill="FFFFFF"/>
        <w:tabs>
          <w:tab w:val="left" w:pos="709"/>
        </w:tabs>
        <w:spacing w:before="40"/>
        <w:ind w:right="6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● компенсация услуг няни родителям, воспитывающим двух и более одновременно рожденных детей в возрасте до 1,5 лет, в сумме 272, 64 тыс.руб. (7 семей); </w:t>
      </w:r>
    </w:p>
    <w:p>
      <w:pPr>
        <w:shd w:val="clear" w:color="auto" w:fill="FFFFFF"/>
        <w:tabs>
          <w:tab w:val="left" w:pos="709"/>
        </w:tabs>
        <w:spacing w:before="40"/>
        <w:ind w:right="6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● денежная выплата на частичную оплату стоимости помывки в бане пенсионерам, проживающим в квартирах, не оборудованных ванной или душем в сумме 48,48 тыс.руб. (20 чел);</w:t>
      </w:r>
    </w:p>
    <w:p>
      <w:pPr>
        <w:tabs>
          <w:tab w:val="left" w:pos="709"/>
        </w:tabs>
        <w:ind w:firstLine="708"/>
        <w:jc w:val="both"/>
        <w:rPr>
          <w:bCs/>
          <w:sz w:val="24"/>
          <w:szCs w:val="24"/>
          <w:highlight w:val="yellow"/>
        </w:rPr>
      </w:pPr>
      <w:r>
        <w:rPr>
          <w:bCs/>
          <w:sz w:val="24"/>
          <w:szCs w:val="24"/>
        </w:rPr>
        <w:t xml:space="preserve">- на осуществление социальной поддержки в отношении детей-сирот и детей, оставшихся без попечения родителей, а также лиц из числа детей-сирот и детей, оставшихся без попечения родителей в сумме 59 790,84 тыс. руб., из них: </w:t>
      </w:r>
      <w:r>
        <w:rPr>
          <w:bCs/>
          <w:sz w:val="24"/>
          <w:szCs w:val="24"/>
          <w:highlight w:val="yellow"/>
        </w:rPr>
        <w:br/>
      </w:r>
      <w:r>
        <w:rPr>
          <w:bCs/>
          <w:sz w:val="24"/>
          <w:szCs w:val="24"/>
        </w:rPr>
        <w:t>40 428,47 тыс.руб. на осуществление ежемесячной выплаты денежных средств приемным семьям на содержание детей, а также вознаграждения, причитающегося приемным родителям (339 чел.); 10 629,61 тыс.руб. на осуществление ежемесячной выплаты денежных средств опекунам (попечителям) на содержание детей и обеспечение денежными средствами лиц из числа детей-сирот и детей, оставшихся без попечения родителей, находившихся под опекой (попечительством), в приемной семье (106 чел.); 731,99 тыс.руб. на выплаты единовременного пособия при всех формах устройства детей, лишенных родительского попечения, в семью (28 чел.); приобретены жилые помещения для детей-сирот и детей, оставшихся без попечения родителей на общую сумму 8 000,77 тыс. руб. в количестве 7 человек (в том числе: 1 357,96 тыс. руб. за счет средств федерального бюджета, 6 642,81 тыс. руб. за счет средств областного бюджета).</w:t>
      </w:r>
    </w:p>
    <w:p>
      <w:pPr>
        <w:tabs>
          <w:tab w:val="left" w:pos="-761"/>
          <w:tab w:val="left" w:pos="709"/>
        </w:tabs>
        <w:ind w:firstLine="708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  - на поддержку 9 общественных объединений ЗАТО Северск и проведение мероприятий, посвященных Дням воинской славы, памятным и знаменательным датам России (17 мероприятий) в сумме 5 560,93</w:t>
      </w:r>
      <w:r>
        <w:rPr>
          <w:sz w:val="24"/>
          <w:szCs w:val="24"/>
        </w:rPr>
        <w:t xml:space="preserve"> тыс. руб. </w:t>
      </w:r>
    </w:p>
    <w:p>
      <w:pPr>
        <w:tabs>
          <w:tab w:val="left" w:pos="709"/>
        </w:tabs>
        <w:ind w:firstLine="708"/>
        <w:jc w:val="both"/>
        <w:rPr>
          <w:bCs/>
          <w:sz w:val="24"/>
          <w:szCs w:val="24"/>
          <w:highlight w:val="yellow"/>
        </w:rPr>
      </w:pPr>
    </w:p>
    <w:p>
      <w:pPr>
        <w:ind w:right="55"/>
        <w:jc w:val="center"/>
        <w:rPr>
          <w:b/>
          <w:bCs/>
          <w:i/>
          <w:sz w:val="24"/>
          <w:szCs w:val="24"/>
        </w:rPr>
      </w:pPr>
    </w:p>
    <w:p>
      <w:pPr>
        <w:ind w:right="55"/>
        <w:jc w:val="center"/>
        <w:rPr>
          <w:b/>
          <w:bCs/>
          <w:i/>
          <w:sz w:val="24"/>
          <w:szCs w:val="24"/>
        </w:rPr>
      </w:pPr>
    </w:p>
    <w:p>
      <w:pPr>
        <w:ind w:right="55"/>
        <w:jc w:val="center"/>
        <w:rPr>
          <w:b/>
          <w:bCs/>
          <w:i/>
          <w:sz w:val="24"/>
          <w:szCs w:val="24"/>
        </w:rPr>
      </w:pPr>
    </w:p>
    <w:p>
      <w:pPr>
        <w:ind w:right="55"/>
        <w:jc w:val="center"/>
        <w:rPr>
          <w:b/>
          <w:bCs/>
          <w:i/>
          <w:sz w:val="24"/>
          <w:szCs w:val="24"/>
        </w:rPr>
      </w:pPr>
    </w:p>
    <w:p>
      <w:pPr>
        <w:ind w:right="55"/>
        <w:jc w:val="center"/>
        <w:rPr>
          <w:b/>
          <w:bCs/>
          <w:i/>
          <w:sz w:val="24"/>
          <w:szCs w:val="24"/>
        </w:rPr>
      </w:pPr>
      <w:r>
        <w:rPr>
          <w:b/>
          <w:bCs/>
          <w:i/>
          <w:sz w:val="24"/>
          <w:szCs w:val="24"/>
        </w:rPr>
        <w:lastRenderedPageBreak/>
        <w:t xml:space="preserve">4.1.5.7. Муниципальная программа </w:t>
      </w:r>
    </w:p>
    <w:p>
      <w:pPr>
        <w:spacing w:after="120"/>
        <w:ind w:right="57"/>
        <w:jc w:val="center"/>
        <w:rPr>
          <w:b/>
          <w:bCs/>
          <w:i/>
          <w:sz w:val="24"/>
          <w:szCs w:val="24"/>
        </w:rPr>
      </w:pPr>
      <w:r>
        <w:rPr>
          <w:b/>
          <w:bCs/>
          <w:i/>
          <w:sz w:val="24"/>
          <w:szCs w:val="24"/>
        </w:rPr>
        <w:t>«Улучшение качественного состояния объектов улично-дорожной сети, благоустройства и озеленения территории г.Северска»</w:t>
      </w:r>
    </w:p>
    <w:p>
      <w:pPr>
        <w:ind w:right="55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Программа исполнена в общей сумме 542 569,39 тыс.руб., в том числе ответственным исполнителем УЖКХ ТиС в сумме 284 337,28 тыс. руб., а также участниками программы УКС в сумме 258 232,11 тыс.руб.</w:t>
      </w:r>
    </w:p>
    <w:p>
      <w:pPr>
        <w:ind w:right="55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Бюджетные ассигнования направлены на:</w:t>
      </w:r>
    </w:p>
    <w:p>
      <w:pPr>
        <w:ind w:right="55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 ликвидацию </w:t>
      </w:r>
      <w:proofErr w:type="spellStart"/>
      <w:r>
        <w:rPr>
          <w:bCs/>
          <w:sz w:val="24"/>
          <w:szCs w:val="24"/>
        </w:rPr>
        <w:t>старовозрастных</w:t>
      </w:r>
      <w:proofErr w:type="spellEnd"/>
      <w:r>
        <w:rPr>
          <w:bCs/>
          <w:sz w:val="24"/>
          <w:szCs w:val="24"/>
        </w:rPr>
        <w:t xml:space="preserve"> деревьев, переросших зеленых насаждений в сумме 1 044,47 тыс.руб. (с</w:t>
      </w:r>
      <w:r>
        <w:rPr>
          <w:sz w:val="24"/>
          <w:szCs w:val="24"/>
        </w:rPr>
        <w:t xml:space="preserve">несено 465 </w:t>
      </w:r>
      <w:proofErr w:type="spellStart"/>
      <w:r>
        <w:rPr>
          <w:sz w:val="24"/>
          <w:szCs w:val="24"/>
        </w:rPr>
        <w:t>старовозрастных</w:t>
      </w:r>
      <w:proofErr w:type="spellEnd"/>
      <w:r>
        <w:rPr>
          <w:sz w:val="24"/>
          <w:szCs w:val="24"/>
        </w:rPr>
        <w:t xml:space="preserve"> дерева, выполнена формовочная и омолаживающая обрезка 440 деревьев)</w:t>
      </w:r>
      <w:r>
        <w:rPr>
          <w:bCs/>
          <w:sz w:val="24"/>
          <w:szCs w:val="24"/>
        </w:rPr>
        <w:t>;</w:t>
      </w:r>
    </w:p>
    <w:p>
      <w:pPr>
        <w:ind w:right="55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 обеспечение устойчивого воспроизводства зеленого фонда в сумме 367,45 тыс.руб. (п</w:t>
      </w:r>
      <w:r>
        <w:rPr>
          <w:sz w:val="24"/>
          <w:szCs w:val="24"/>
        </w:rPr>
        <w:t>осажено 670 саженцев древесно- кустарниковых насаждений)</w:t>
      </w:r>
      <w:r>
        <w:rPr>
          <w:bCs/>
          <w:sz w:val="24"/>
          <w:szCs w:val="24"/>
        </w:rPr>
        <w:t>;</w:t>
      </w:r>
    </w:p>
    <w:p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>- поддержание объектов озеленения в нормативном и эстетически привлекательном состоянии в сумме 14 161,13 тыс.руб. (</w:t>
      </w:r>
      <w:r>
        <w:rPr>
          <w:sz w:val="24"/>
          <w:szCs w:val="24"/>
        </w:rPr>
        <w:t>текущее содержание объектов озеленения, посадка и содержание цветников (5,657 тыс. м</w:t>
      </w:r>
      <w:r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>) и выкашивание газонов (104,38 га)</w:t>
      </w:r>
      <w:r>
        <w:rPr>
          <w:bCs/>
          <w:sz w:val="24"/>
          <w:szCs w:val="24"/>
        </w:rPr>
        <w:t>;</w:t>
      </w:r>
    </w:p>
    <w:p>
      <w:pPr>
        <w:ind w:right="55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 создание комфортной среды в местах массового посещения в сумме 44 882,92</w:t>
      </w:r>
      <w:r>
        <w:rPr>
          <w:sz w:val="24"/>
          <w:szCs w:val="24"/>
        </w:rPr>
        <w:t> </w:t>
      </w:r>
      <w:r>
        <w:rPr>
          <w:bCs/>
          <w:sz w:val="24"/>
          <w:szCs w:val="24"/>
        </w:rPr>
        <w:t xml:space="preserve">тыс.руб., из них: </w:t>
      </w:r>
    </w:p>
    <w:p>
      <w:pPr>
        <w:pStyle w:val="af8"/>
        <w:numPr>
          <w:ilvl w:val="0"/>
          <w:numId w:val="9"/>
        </w:numPr>
        <w:tabs>
          <w:tab w:val="left" w:pos="993"/>
        </w:tabs>
        <w:ind w:left="0" w:right="55"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>строительство муниципального общественного кладбища в г. Северске в сумме 44 702,92 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уб.;</w:t>
      </w:r>
    </w:p>
    <w:p>
      <w:pPr>
        <w:tabs>
          <w:tab w:val="left" w:pos="1134"/>
        </w:tabs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 </w:t>
      </w:r>
      <w:r>
        <w:rPr>
          <w:sz w:val="24"/>
          <w:szCs w:val="24"/>
        </w:rPr>
        <w:t xml:space="preserve"> улучшение качественного состояния объектов улично-дорожной сети в сумме 190 036,51 тыс.руб., из них: участие в региональном проекте «Дорожная сеть» в сумме 159 999,99 тыс.руб. (в т.ч. осуществлен капитальный ремонт автодороги по ул.Северная в сумме 31 073,95 тыс.руб.- 1 этап);</w:t>
      </w:r>
    </w:p>
    <w:p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 организацию мероприятий по текущему содержанию и ремонту объектов улично-дорожной сети и внешнего благоустройства в сумме 177 532,49 тыс.руб., из них: </w:t>
      </w:r>
    </w:p>
    <w:p>
      <w:pPr>
        <w:pStyle w:val="af8"/>
        <w:numPr>
          <w:ilvl w:val="0"/>
          <w:numId w:val="15"/>
        </w:numPr>
        <w:tabs>
          <w:tab w:val="left" w:pos="1134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содержание автомобильных дорог в сумме 44 055,07 тыс</w:t>
      </w:r>
      <w:proofErr w:type="gramStart"/>
      <w:r>
        <w:rPr>
          <w:bCs/>
          <w:sz w:val="24"/>
          <w:szCs w:val="24"/>
        </w:rPr>
        <w:t>.р</w:t>
      </w:r>
      <w:proofErr w:type="gramEnd"/>
      <w:r>
        <w:rPr>
          <w:bCs/>
          <w:sz w:val="24"/>
          <w:szCs w:val="24"/>
        </w:rPr>
        <w:t>уб., из них на содержание дорог СХК в сумме 9 731,56 тыс.руб.;</w:t>
      </w:r>
    </w:p>
    <w:p>
      <w:pPr>
        <w:pStyle w:val="af8"/>
        <w:numPr>
          <w:ilvl w:val="0"/>
          <w:numId w:val="15"/>
        </w:numPr>
        <w:tabs>
          <w:tab w:val="left" w:pos="1134"/>
        </w:tabs>
        <w:ind w:left="0"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>благоустройство внутриквартальных территорий г. Северска в сумме 26 206,26 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уб.;</w:t>
      </w:r>
    </w:p>
    <w:p>
      <w:pPr>
        <w:pStyle w:val="af8"/>
        <w:numPr>
          <w:ilvl w:val="0"/>
          <w:numId w:val="15"/>
        </w:numPr>
        <w:tabs>
          <w:tab w:val="left" w:pos="1134"/>
        </w:tabs>
        <w:ind w:left="0"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>ремонт автомобильных дорог в сумме 10 570,70 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уб.;</w:t>
      </w:r>
      <w:r>
        <w:rPr>
          <w:bCs/>
          <w:sz w:val="24"/>
          <w:szCs w:val="24"/>
        </w:rPr>
        <w:t xml:space="preserve"> </w:t>
      </w:r>
    </w:p>
    <w:p>
      <w:pPr>
        <w:pStyle w:val="af8"/>
        <w:numPr>
          <w:ilvl w:val="0"/>
          <w:numId w:val="15"/>
        </w:numPr>
        <w:tabs>
          <w:tab w:val="left" w:pos="1134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транспортные услуги по вывозу снега в сумме 4 220,23 тыс</w:t>
      </w:r>
      <w:proofErr w:type="gramStart"/>
      <w:r>
        <w:rPr>
          <w:bCs/>
          <w:sz w:val="24"/>
          <w:szCs w:val="24"/>
        </w:rPr>
        <w:t>.р</w:t>
      </w:r>
      <w:proofErr w:type="gramEnd"/>
      <w:r>
        <w:rPr>
          <w:bCs/>
          <w:sz w:val="24"/>
          <w:szCs w:val="24"/>
        </w:rPr>
        <w:t>уб.;</w:t>
      </w:r>
    </w:p>
    <w:p>
      <w:pPr>
        <w:pStyle w:val="af8"/>
        <w:numPr>
          <w:ilvl w:val="0"/>
          <w:numId w:val="15"/>
        </w:numPr>
        <w:tabs>
          <w:tab w:val="left" w:pos="1134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работы по организации и содержанию мест захоронения на территории ЗАТО Северск в сумме 1 983,75 тыс</w:t>
      </w:r>
      <w:proofErr w:type="gramStart"/>
      <w:r>
        <w:rPr>
          <w:bCs/>
          <w:sz w:val="24"/>
          <w:szCs w:val="24"/>
        </w:rPr>
        <w:t>.р</w:t>
      </w:r>
      <w:proofErr w:type="gramEnd"/>
      <w:r>
        <w:rPr>
          <w:bCs/>
          <w:sz w:val="24"/>
          <w:szCs w:val="24"/>
        </w:rPr>
        <w:t>уб.;</w:t>
      </w:r>
    </w:p>
    <w:p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 обеспечение комфортных и безопасных условий для проживания и жизнедеятельности населения в сумме 23 905,76 тыс.руб., из них:</w:t>
      </w:r>
    </w:p>
    <w:p>
      <w:pPr>
        <w:pStyle w:val="af8"/>
        <w:numPr>
          <w:ilvl w:val="0"/>
          <w:numId w:val="15"/>
        </w:numPr>
        <w:tabs>
          <w:tab w:val="left" w:pos="1134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услуги по поставке и работы по установке праздничной иллюминации к Дню города 6 183,53 тыс</w:t>
      </w:r>
      <w:proofErr w:type="gramStart"/>
      <w:r>
        <w:rPr>
          <w:bCs/>
          <w:sz w:val="24"/>
          <w:szCs w:val="24"/>
        </w:rPr>
        <w:t>.р</w:t>
      </w:r>
      <w:proofErr w:type="gramEnd"/>
      <w:r>
        <w:rPr>
          <w:bCs/>
          <w:sz w:val="24"/>
          <w:szCs w:val="24"/>
        </w:rPr>
        <w:t>уб.;</w:t>
      </w:r>
    </w:p>
    <w:p>
      <w:pPr>
        <w:pStyle w:val="af8"/>
        <w:numPr>
          <w:ilvl w:val="0"/>
          <w:numId w:val="15"/>
        </w:numPr>
        <w:tabs>
          <w:tab w:val="left" w:pos="1134"/>
        </w:tabs>
        <w:ind w:left="0"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>работы по праздничному оформлению территории ЗАТО Северск в сумме 6 048,51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уб.;</w:t>
      </w:r>
    </w:p>
    <w:p>
      <w:pPr>
        <w:pStyle w:val="af8"/>
        <w:numPr>
          <w:ilvl w:val="0"/>
          <w:numId w:val="15"/>
        </w:numPr>
        <w:tabs>
          <w:tab w:val="left" w:pos="1134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ремонт и благоустройство мемориальных объектов ЗАТО Северск к празднованию 75-й годовщины Победы в Великой Отечественной войне в сумме 4 107,61 тыс</w:t>
      </w:r>
      <w:proofErr w:type="gramStart"/>
      <w:r>
        <w:rPr>
          <w:bCs/>
          <w:sz w:val="24"/>
          <w:szCs w:val="24"/>
        </w:rPr>
        <w:t>.р</w:t>
      </w:r>
      <w:proofErr w:type="gramEnd"/>
      <w:r>
        <w:rPr>
          <w:bCs/>
          <w:sz w:val="24"/>
          <w:szCs w:val="24"/>
        </w:rPr>
        <w:t>уб.;</w:t>
      </w:r>
    </w:p>
    <w:p>
      <w:pPr>
        <w:pStyle w:val="af8"/>
        <w:numPr>
          <w:ilvl w:val="0"/>
          <w:numId w:val="15"/>
        </w:numPr>
        <w:tabs>
          <w:tab w:val="left" w:pos="1134"/>
        </w:tabs>
        <w:ind w:left="0"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>отлов и размещение в пунктах временного содержания отловленных безнадзорных животных в сумме 3 477,13 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уб.;</w:t>
      </w:r>
    </w:p>
    <w:p>
      <w:pPr>
        <w:ind w:right="55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 организацию гостевых стоянок автотранспорта и расширение внутриквартальных проездов на внутридворовых территориях в сумме 50,00 тыс.руб.; </w:t>
      </w:r>
    </w:p>
    <w:p>
      <w:pPr>
        <w:ind w:right="55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 обеспечение деятельности ответственного исполнителя программы (УЖКХ ТиС)  в сумме 30 862,05 тыс</w:t>
      </w:r>
      <w:proofErr w:type="gramStart"/>
      <w:r>
        <w:rPr>
          <w:bCs/>
          <w:sz w:val="24"/>
          <w:szCs w:val="24"/>
        </w:rPr>
        <w:t>.р</w:t>
      </w:r>
      <w:proofErr w:type="gramEnd"/>
      <w:r>
        <w:rPr>
          <w:bCs/>
          <w:sz w:val="24"/>
          <w:szCs w:val="24"/>
        </w:rPr>
        <w:t>уб.;</w:t>
      </w:r>
    </w:p>
    <w:p>
      <w:pPr>
        <w:tabs>
          <w:tab w:val="left" w:pos="1134"/>
        </w:tabs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 обеспечение деятельности ответственного исполнителя программы (УКС)</w:t>
      </w:r>
      <w:r>
        <w:rPr>
          <w:bCs/>
          <w:sz w:val="24"/>
          <w:szCs w:val="24"/>
          <w:highlight w:val="yellow"/>
        </w:rPr>
        <w:t xml:space="preserve"> </w:t>
      </w:r>
      <w:r>
        <w:rPr>
          <w:bCs/>
          <w:sz w:val="24"/>
          <w:szCs w:val="24"/>
          <w:highlight w:val="yellow"/>
        </w:rPr>
        <w:br/>
      </w:r>
      <w:r>
        <w:rPr>
          <w:bCs/>
          <w:sz w:val="24"/>
          <w:szCs w:val="24"/>
        </w:rPr>
        <w:t>в объеме 23 312,69 тыс.руб.;</w:t>
      </w:r>
    </w:p>
    <w:p>
      <w:pPr>
        <w:ind w:right="55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 обеспечение деятельности МКУ «Технический центр» в сумме 36 413,92 тыс.руб.</w:t>
      </w:r>
    </w:p>
    <w:p>
      <w:pPr>
        <w:ind w:right="55"/>
        <w:jc w:val="center"/>
        <w:rPr>
          <w:b/>
          <w:bCs/>
          <w:i/>
          <w:color w:val="FF0000"/>
          <w:sz w:val="24"/>
          <w:szCs w:val="24"/>
          <w:highlight w:val="yellow"/>
        </w:rPr>
      </w:pPr>
      <w:r>
        <w:rPr>
          <w:b/>
          <w:bCs/>
          <w:i/>
          <w:color w:val="FF0000"/>
          <w:sz w:val="24"/>
          <w:szCs w:val="24"/>
          <w:highlight w:val="yellow"/>
        </w:rPr>
        <w:t xml:space="preserve"> </w:t>
      </w:r>
    </w:p>
    <w:p>
      <w:pPr>
        <w:ind w:right="55"/>
        <w:jc w:val="center"/>
        <w:rPr>
          <w:b/>
          <w:bCs/>
          <w:i/>
          <w:color w:val="FF0000"/>
          <w:sz w:val="24"/>
          <w:szCs w:val="24"/>
          <w:highlight w:val="yellow"/>
        </w:rPr>
      </w:pPr>
    </w:p>
    <w:p>
      <w:pPr>
        <w:ind w:right="55"/>
        <w:jc w:val="center"/>
        <w:rPr>
          <w:b/>
          <w:bCs/>
          <w:i/>
          <w:sz w:val="24"/>
          <w:szCs w:val="24"/>
        </w:rPr>
      </w:pPr>
      <w:r>
        <w:rPr>
          <w:b/>
          <w:bCs/>
          <w:i/>
          <w:sz w:val="24"/>
          <w:szCs w:val="24"/>
        </w:rPr>
        <w:lastRenderedPageBreak/>
        <w:t>4.1.5.8. Муниципальная программа</w:t>
      </w:r>
    </w:p>
    <w:p>
      <w:pPr>
        <w:spacing w:after="120"/>
        <w:ind w:right="57"/>
        <w:jc w:val="center"/>
        <w:rPr>
          <w:b/>
          <w:bCs/>
          <w:i/>
          <w:sz w:val="24"/>
          <w:szCs w:val="24"/>
        </w:rPr>
      </w:pPr>
      <w:r>
        <w:rPr>
          <w:b/>
          <w:bCs/>
          <w:i/>
          <w:sz w:val="24"/>
          <w:szCs w:val="24"/>
        </w:rPr>
        <w:t>«Повышение энергоэффективности в ЗАТО Северск»</w:t>
      </w:r>
    </w:p>
    <w:p>
      <w:pPr>
        <w:ind w:right="55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Программа исполнена в общей сумме 37 288,49 тыс.руб., в том числе ответственными исполнителями УЖКХ ТиС в сумме 35 112,50 тыс.руб. и УКС в сумме 2 175,99 тыс.руб. </w:t>
      </w:r>
    </w:p>
    <w:p>
      <w:pPr>
        <w:ind w:right="55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Бюджетные ассигнования направлены на:</w:t>
      </w:r>
    </w:p>
    <w:p>
      <w:pPr>
        <w:ind w:right="55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 энергосбережение в жилищном фонде в сумме 368,69 тыс.руб.</w:t>
      </w:r>
      <w:r>
        <w:t xml:space="preserve"> (</w:t>
      </w:r>
      <w:r>
        <w:rPr>
          <w:bCs/>
          <w:sz w:val="24"/>
          <w:szCs w:val="24"/>
        </w:rPr>
        <w:t>выполнены работы по установке 198 индивидуальных приборов учета энергоресурсов);</w:t>
      </w:r>
    </w:p>
    <w:p>
      <w:pPr>
        <w:ind w:right="55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 энергосбережение в коммунальной сфере и благоустройстве в сумме 34 743,82 тыс.руб., из них: </w:t>
      </w:r>
    </w:p>
    <w:p>
      <w:pPr>
        <w:pStyle w:val="af8"/>
        <w:numPr>
          <w:ilvl w:val="0"/>
          <w:numId w:val="10"/>
        </w:numPr>
        <w:tabs>
          <w:tab w:val="left" w:pos="1134"/>
        </w:tabs>
        <w:ind w:left="0" w:right="55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организацию уличного освещения и текущего содержания электрооборудования объектов благоустройства и объектов дорожного </w:t>
      </w:r>
      <w:proofErr w:type="gramStart"/>
      <w:r>
        <w:rPr>
          <w:bCs/>
          <w:sz w:val="24"/>
          <w:szCs w:val="24"/>
        </w:rPr>
        <w:t>обустройства</w:t>
      </w:r>
      <w:proofErr w:type="gramEnd"/>
      <w:r>
        <w:rPr>
          <w:bCs/>
          <w:sz w:val="24"/>
          <w:szCs w:val="24"/>
        </w:rPr>
        <w:t xml:space="preserve"> ЗАТО Северск в сумме 34 497,61 тыс. руб.;</w:t>
      </w:r>
    </w:p>
    <w:p>
      <w:pPr>
        <w:pStyle w:val="af8"/>
        <w:numPr>
          <w:ilvl w:val="0"/>
          <w:numId w:val="10"/>
        </w:numPr>
        <w:tabs>
          <w:tab w:val="left" w:pos="1134"/>
        </w:tabs>
        <w:ind w:left="0" w:right="55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модернизацию уличного освещения, освещение пешеходных переходов, праздничную иллюминацию, архитектурное освещение объектов городской среды 246,21 тыс. руб.</w:t>
      </w:r>
    </w:p>
    <w:p>
      <w:pPr>
        <w:pStyle w:val="af8"/>
        <w:numPr>
          <w:ilvl w:val="0"/>
          <w:numId w:val="10"/>
        </w:numPr>
        <w:tabs>
          <w:tab w:val="left" w:pos="1134"/>
        </w:tabs>
        <w:ind w:left="0" w:right="55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строительство магистрального газопровода от ГРС пос. Самусь до котельной пос</w:t>
      </w:r>
      <w:proofErr w:type="gramStart"/>
      <w:r>
        <w:rPr>
          <w:bCs/>
          <w:sz w:val="24"/>
          <w:szCs w:val="24"/>
        </w:rPr>
        <w:t>.О</w:t>
      </w:r>
      <w:proofErr w:type="gramEnd"/>
      <w:r>
        <w:rPr>
          <w:bCs/>
          <w:sz w:val="24"/>
          <w:szCs w:val="24"/>
        </w:rPr>
        <w:t>рловка в сумме 2 175,99 тыс.руб.;</w:t>
      </w:r>
    </w:p>
    <w:p>
      <w:pPr>
        <w:tabs>
          <w:tab w:val="left" w:pos="1134"/>
        </w:tabs>
        <w:ind w:right="55"/>
        <w:jc w:val="both"/>
        <w:rPr>
          <w:bCs/>
          <w:sz w:val="24"/>
          <w:szCs w:val="24"/>
        </w:rPr>
      </w:pPr>
    </w:p>
    <w:p>
      <w:pPr>
        <w:ind w:right="55"/>
        <w:jc w:val="center"/>
        <w:rPr>
          <w:b/>
          <w:bCs/>
          <w:i/>
          <w:sz w:val="24"/>
          <w:szCs w:val="24"/>
        </w:rPr>
      </w:pPr>
      <w:r>
        <w:rPr>
          <w:b/>
          <w:bCs/>
          <w:i/>
          <w:sz w:val="24"/>
          <w:szCs w:val="24"/>
        </w:rPr>
        <w:t>4.1.5.9. Муниципальная программа</w:t>
      </w:r>
    </w:p>
    <w:p>
      <w:pPr>
        <w:spacing w:after="120"/>
        <w:ind w:right="57"/>
        <w:jc w:val="center"/>
        <w:rPr>
          <w:b/>
          <w:bCs/>
          <w:i/>
          <w:sz w:val="24"/>
          <w:szCs w:val="24"/>
        </w:rPr>
      </w:pPr>
      <w:r>
        <w:rPr>
          <w:b/>
          <w:bCs/>
          <w:i/>
          <w:sz w:val="24"/>
          <w:szCs w:val="24"/>
        </w:rPr>
        <w:t>«Обеспечение доступным и комфортным жильем граждан ЗАТО Северск»</w:t>
      </w:r>
    </w:p>
    <w:p>
      <w:pPr>
        <w:ind w:right="55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Программа исполнена ответственным исполнителем УЖКХ ТиС в сумме 16 363,29 тыс.руб.</w:t>
      </w:r>
    </w:p>
    <w:p>
      <w:pPr>
        <w:ind w:right="55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Бюджетные ассигнования направлены на:</w:t>
      </w:r>
    </w:p>
    <w:p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- финансовое обеспечение капитального ремонта общего имущества в многоквартирных </w:t>
      </w:r>
      <w:proofErr w:type="gramStart"/>
      <w:r>
        <w:rPr>
          <w:bCs/>
          <w:sz w:val="24"/>
          <w:szCs w:val="24"/>
        </w:rPr>
        <w:t>домах</w:t>
      </w:r>
      <w:proofErr w:type="gramEnd"/>
      <w:r>
        <w:rPr>
          <w:bCs/>
          <w:sz w:val="24"/>
          <w:szCs w:val="24"/>
        </w:rPr>
        <w:t xml:space="preserve"> ЗАТО Северск в части муниципального жилищного фонда в сумме 10 503,06 тыс. руб.</w:t>
      </w:r>
      <w:r>
        <w:t xml:space="preserve"> (</w:t>
      </w:r>
      <w:r>
        <w:rPr>
          <w:sz w:val="24"/>
          <w:szCs w:val="24"/>
        </w:rPr>
        <w:t>з</w:t>
      </w:r>
      <w:r>
        <w:rPr>
          <w:bCs/>
          <w:sz w:val="24"/>
          <w:szCs w:val="24"/>
        </w:rPr>
        <w:t>а счет уплаты взносов на капитальный ремонт выполнены работы (оказано услуг) по капитальному ремонту 56 домов ((завершены СМР - 43 дома: крыши 27 домов, инженерные сети 5 домов, лифты 13 домов (51 лифт)</w:t>
      </w:r>
      <w:r>
        <w:rPr>
          <w:bCs/>
          <w:sz w:val="24"/>
          <w:szCs w:val="24"/>
          <w:shd w:val="clear" w:color="auto" w:fill="FFFFFF"/>
        </w:rPr>
        <w:t>;</w:t>
      </w:r>
      <w:r>
        <w:rPr>
          <w:bCs/>
          <w:sz w:val="24"/>
          <w:szCs w:val="24"/>
        </w:rPr>
        <w:t>  </w:t>
      </w:r>
      <w:proofErr w:type="gramStart"/>
      <w:r>
        <w:rPr>
          <w:bCs/>
          <w:sz w:val="24"/>
          <w:szCs w:val="24"/>
        </w:rPr>
        <w:t>ПСД - 21 дом, в том числе: крыши 9 домов, лифты 12 домов);</w:t>
      </w:r>
      <w:proofErr w:type="gramEnd"/>
    </w:p>
    <w:p>
      <w:pPr>
        <w:ind w:right="55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 капитальный и текущий ремонт муниципального жилищного фонда в ЗАТО Северск в сумме 2 021,54 тыс. руб. (капитально отремонтировано 6 жилых помещений, текущий ремонт был выполнен в 4 жилых помещениях);</w:t>
      </w:r>
    </w:p>
    <w:p>
      <w:pPr>
        <w:ind w:right="55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 содержание 33 жилых помещений до заселения муниципального жилищного фонда ЗАТО Северск в сумме 400,67 тыс. руб.;</w:t>
      </w:r>
    </w:p>
    <w:p>
      <w:pPr>
        <w:ind w:right="55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 организацию и обеспечение деятельности ТОС в ЗАТО Северск Томской области в сумме 637,44 тыс. руб. (предоставлены субсидии НО ТОС «Микрорайон </w:t>
      </w:r>
      <w:proofErr w:type="spellStart"/>
      <w:r>
        <w:rPr>
          <w:bCs/>
          <w:sz w:val="24"/>
          <w:szCs w:val="24"/>
        </w:rPr>
        <w:t>Иглаково</w:t>
      </w:r>
      <w:proofErr w:type="spellEnd"/>
      <w:r>
        <w:rPr>
          <w:bCs/>
          <w:sz w:val="24"/>
          <w:szCs w:val="24"/>
        </w:rPr>
        <w:t>», который организовал и провел 200 мероприятий по благоустройству микрорайона территории ТОС;</w:t>
      </w:r>
    </w:p>
    <w:p>
      <w:pPr>
        <w:ind w:right="55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 мероприятия по развитию и поддержке деятельности ТСЖ в ЗАТО Северск в сумме 247,96 тыс.руб., из них за счет средств областного бюджета в сумме 149,10 тыс. руб.;</w:t>
      </w:r>
    </w:p>
    <w:p>
      <w:pPr>
        <w:ind w:right="55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 организацию оценки недвижимости и регистрации права собственности на жилые помещения жилищного фонда ЗАТО Северск в сумме 106,42 тыс. руб. (изготовлено 20 техпаспортов на жилые помещения муниципального жилфонда, необходимых для передачи в собственность гражданам);</w:t>
      </w:r>
    </w:p>
    <w:p>
      <w:pPr>
        <w:ind w:right="55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  реализацию проекта «Губернаторская ипотека» на территории Томской области» в сумме 743,04 тыс. руб., в том числе: за счет средств областного бюджета в сумме 495,36 тыс.руб., за счет средств местного бюджета в сумме 247,68 тыс. руб. (</w:t>
      </w:r>
      <w:r>
        <w:rPr>
          <w:sz w:val="24"/>
          <w:szCs w:val="24"/>
        </w:rPr>
        <w:t>предоставлены социальные выплаты на частичную оплату первоначального взноса по ипотечным жилищным кредитам, взятым на приобретение вновь построенного жилья у застройщика (ТДСК) по договорам купли-продажи четырем заявителям</w:t>
      </w:r>
      <w:r>
        <w:rPr>
          <w:bCs/>
          <w:sz w:val="24"/>
          <w:szCs w:val="24"/>
        </w:rPr>
        <w:t>);  </w:t>
      </w:r>
    </w:p>
    <w:p>
      <w:pPr>
        <w:ind w:right="55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>- изготовление и установка пандусов и поручней в жилых домах в сумме 92,32 тыс. руб. (оборудовано пандусами и поручнями 6 жилых домов для беспрепятственного доступа инвалидов и других маломобильных групп населения);</w:t>
      </w:r>
    </w:p>
    <w:p>
      <w:pPr>
        <w:ind w:right="55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 оплату расходов по 9 договорам пожизненной ренты в сумме 1 610,84 тыс. руб.</w:t>
      </w:r>
    </w:p>
    <w:p>
      <w:pPr>
        <w:ind w:right="55"/>
        <w:jc w:val="both"/>
        <w:rPr>
          <w:bCs/>
          <w:sz w:val="24"/>
          <w:szCs w:val="24"/>
          <w:highlight w:val="yellow"/>
        </w:rPr>
      </w:pPr>
    </w:p>
    <w:p>
      <w:pPr>
        <w:ind w:right="55"/>
        <w:jc w:val="center"/>
        <w:rPr>
          <w:b/>
          <w:bCs/>
          <w:i/>
          <w:sz w:val="24"/>
          <w:szCs w:val="24"/>
        </w:rPr>
      </w:pPr>
      <w:r>
        <w:rPr>
          <w:b/>
          <w:bCs/>
          <w:i/>
          <w:sz w:val="24"/>
          <w:szCs w:val="24"/>
        </w:rPr>
        <w:t>4.1.5.10. Муниципальная программа</w:t>
      </w:r>
    </w:p>
    <w:p>
      <w:pPr>
        <w:spacing w:after="120"/>
        <w:ind w:right="57"/>
        <w:jc w:val="center"/>
        <w:rPr>
          <w:b/>
          <w:bCs/>
          <w:i/>
          <w:sz w:val="24"/>
          <w:szCs w:val="24"/>
        </w:rPr>
      </w:pPr>
      <w:r>
        <w:rPr>
          <w:b/>
          <w:bCs/>
          <w:i/>
          <w:sz w:val="24"/>
          <w:szCs w:val="24"/>
        </w:rPr>
        <w:t>«Улучшение жизнедеятельности внегородских территорий ЗАТО Северск»</w:t>
      </w:r>
    </w:p>
    <w:p>
      <w:pPr>
        <w:ind w:right="55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Программа исполнена ответственным исполнителем УВГТ в сумме                        </w:t>
      </w:r>
      <w:r>
        <w:rPr>
          <w:sz w:val="24"/>
          <w:szCs w:val="24"/>
        </w:rPr>
        <w:t>46 754,95</w:t>
      </w:r>
      <w:r>
        <w:rPr>
          <w:bCs/>
          <w:sz w:val="24"/>
          <w:szCs w:val="24"/>
        </w:rPr>
        <w:t> тыс.руб.</w:t>
      </w:r>
    </w:p>
    <w:p>
      <w:pPr>
        <w:ind w:right="55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Бюджетные ассигнования направлены на:</w:t>
      </w:r>
    </w:p>
    <w:p>
      <w:pPr>
        <w:ind w:right="55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 содержание и ремонт улично-дорожной сети внегородских территорий в объеме 9 096,69 тыс. руб. (выполнены работы по текущему ремонту </w:t>
      </w:r>
      <w:r>
        <w:rPr>
          <w:sz w:val="24"/>
          <w:szCs w:val="24"/>
        </w:rPr>
        <w:t xml:space="preserve">асфальтобетонного покрытия дорог площадью 2821 кв.м., ремонт дорог с неусовершенствованным покрытием 2400 кв.м. на общую сумму 3 274,81 тыс. руб.; осуществлено содержание улиц, дорог и тротуаров внегородских территорий протяженностью </w:t>
      </w:r>
      <w:smartTag w:uri="urn:schemas-microsoft-com:office:smarttags" w:element="metricconverter">
        <w:smartTagPr>
          <w:attr w:name="ProductID" w:val="99,9 км"/>
        </w:smartTagPr>
        <w:r>
          <w:rPr>
            <w:sz w:val="24"/>
            <w:szCs w:val="24"/>
          </w:rPr>
          <w:t>99,9 км</w:t>
        </w:r>
      </w:smartTag>
      <w:r>
        <w:rPr>
          <w:sz w:val="24"/>
          <w:szCs w:val="24"/>
        </w:rPr>
        <w:t>. дорог на общую сумму 5 115,45 тыс. руб.; осуществлено содержание технических средств организации дорожного движения внегородских территорий в количестве 451 знака на сумму 706,44 тыс. руб.);</w:t>
      </w:r>
    </w:p>
    <w:p>
      <w:pPr>
        <w:ind w:right="55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 благоустройство внегородских территорий в объеме 5 048,79 тыс.руб. (</w:t>
      </w:r>
      <w:r>
        <w:rPr>
          <w:sz w:val="24"/>
          <w:szCs w:val="24"/>
        </w:rPr>
        <w:t xml:space="preserve">осуществлено содержание внутриквартальных внегородских территорий площадью 315330 кв.м., мест захоронений площадью 75050 кв.м.; обеспечено питьевой водой при отсутствии центрального водоснабжения 15 жителей </w:t>
      </w:r>
      <w:proofErr w:type="spellStart"/>
      <w:r>
        <w:rPr>
          <w:sz w:val="24"/>
          <w:szCs w:val="24"/>
        </w:rPr>
        <w:t>д.Семиозерки</w:t>
      </w:r>
      <w:proofErr w:type="spellEnd"/>
      <w:r>
        <w:rPr>
          <w:sz w:val="24"/>
          <w:szCs w:val="24"/>
        </w:rPr>
        <w:t>; ликвидировано 618 куб.м. свалок мусора; обработано территории от клещей 27,18 га;</w:t>
      </w:r>
      <w:r>
        <w:t xml:space="preserve"> </w:t>
      </w:r>
      <w:r>
        <w:rPr>
          <w:bCs/>
          <w:sz w:val="24"/>
          <w:szCs w:val="24"/>
        </w:rPr>
        <w:t>в рамках инициативного бюджетирования реализован проект «Ремонт мемориала славы воинам Великой Отечественной войны</w:t>
      </w:r>
      <w:r>
        <w:rPr>
          <w:sz w:val="24"/>
          <w:szCs w:val="24"/>
        </w:rPr>
        <w:t>» в пос.Самусь (проект является победителем конкурса среди проектов, предложенных непосредственно населением, проживающим в сельской местности) в общей сумме 841,29 тыс. руб., в том числе: 693,48 тыс. руб. за счет субсидии областного бюджета, 92,54 тыс. руб. - софинансирование за счет средств местного бюджета, 55,27 тыс. руб. – средства населения (добровольные пожертвования граждан, юр.лиц, ИП</w:t>
      </w:r>
      <w:r>
        <w:rPr>
          <w:bCs/>
          <w:sz w:val="24"/>
          <w:szCs w:val="24"/>
        </w:rPr>
        <w:t>)) – заменена тротуарная плитка, отремонтирован обелиск Славы воинам ВОВ;</w:t>
      </w:r>
    </w:p>
    <w:p>
      <w:pPr>
        <w:ind w:right="55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 оказание поддержки субъектам малых форм хозяйствования на территории ЗАТО Северск в объеме 328,20 тыс. руб. </w:t>
      </w:r>
      <w:r>
        <w:rPr>
          <w:sz w:val="24"/>
          <w:szCs w:val="24"/>
        </w:rPr>
        <w:t>за счет средств областного бюджета</w:t>
      </w:r>
      <w:r>
        <w:rPr>
          <w:bCs/>
          <w:sz w:val="24"/>
          <w:szCs w:val="24"/>
        </w:rPr>
        <w:t xml:space="preserve"> (искусственно осеменено 25 голов коров в личных подсобных хозяйствах, оказана государственная поддержка по возмещению части затрат субъектам малых форм хозяйствования по содержанию поголовья скота (76 голов));</w:t>
      </w:r>
    </w:p>
    <w:p>
      <w:pPr>
        <w:ind w:right="55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 возмещение теплоснабжающим организациям затрат в связи с оказанием услуг в сфере теплоснабжения гражданам на внегородских территориях ЗАТО Северск в сумме 20 129,32 тыс. руб. (</w:t>
      </w:r>
      <w:r>
        <w:rPr>
          <w:sz w:val="24"/>
          <w:szCs w:val="24"/>
        </w:rPr>
        <w:t>в пос.Самусь 152 многоквартирных жилых домов обеспечено бесперебойным теплоснабжением, в пос.Орловка – 4 дома</w:t>
      </w:r>
      <w:r>
        <w:rPr>
          <w:bCs/>
          <w:sz w:val="24"/>
          <w:szCs w:val="24"/>
        </w:rPr>
        <w:t>);</w:t>
      </w:r>
    </w:p>
    <w:p>
      <w:pPr>
        <w:ind w:right="55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 обеспечение деятельности ответственного исполнителя программы </w:t>
      </w:r>
      <w:r>
        <w:rPr>
          <w:bCs/>
          <w:sz w:val="24"/>
          <w:szCs w:val="24"/>
        </w:rPr>
        <w:br/>
        <w:t>в объеме 12 151,96 тыс. руб.</w:t>
      </w:r>
    </w:p>
    <w:p>
      <w:pPr>
        <w:ind w:right="55" w:firstLine="708"/>
        <w:jc w:val="both"/>
        <w:rPr>
          <w:bCs/>
          <w:sz w:val="24"/>
          <w:szCs w:val="24"/>
          <w:highlight w:val="yellow"/>
        </w:rPr>
      </w:pPr>
    </w:p>
    <w:p>
      <w:pPr>
        <w:ind w:right="55"/>
        <w:jc w:val="center"/>
        <w:rPr>
          <w:b/>
          <w:bCs/>
          <w:i/>
          <w:sz w:val="24"/>
          <w:szCs w:val="24"/>
        </w:rPr>
      </w:pPr>
      <w:r>
        <w:rPr>
          <w:b/>
          <w:bCs/>
          <w:i/>
          <w:sz w:val="24"/>
          <w:szCs w:val="24"/>
        </w:rPr>
        <w:t>4.1.5.11. Муниципальная программа</w:t>
      </w:r>
    </w:p>
    <w:p>
      <w:pPr>
        <w:spacing w:after="120"/>
        <w:ind w:right="57"/>
        <w:jc w:val="center"/>
        <w:rPr>
          <w:b/>
          <w:bCs/>
          <w:i/>
          <w:sz w:val="24"/>
          <w:szCs w:val="24"/>
        </w:rPr>
      </w:pPr>
      <w:r>
        <w:rPr>
          <w:b/>
          <w:bCs/>
          <w:i/>
          <w:sz w:val="24"/>
          <w:szCs w:val="24"/>
        </w:rPr>
        <w:t>«Обеспечение безопасности населения на территории ЗАТО Северск»</w:t>
      </w:r>
    </w:p>
    <w:p>
      <w:pPr>
        <w:ind w:right="55" w:firstLine="708"/>
        <w:jc w:val="both"/>
        <w:rPr>
          <w:b/>
          <w:bCs/>
          <w:sz w:val="24"/>
          <w:szCs w:val="24"/>
        </w:rPr>
      </w:pPr>
      <w:r>
        <w:rPr>
          <w:bCs/>
          <w:sz w:val="24"/>
          <w:szCs w:val="24"/>
        </w:rPr>
        <w:t>Программа исполнена в общей сумме 66 861,57 тыс.руб., в том числе ответственным исполнителем Управлением ЧС в сумме 25 363,4 тыс.руб.</w:t>
      </w:r>
      <w:r>
        <w:rPr>
          <w:sz w:val="24"/>
          <w:szCs w:val="24"/>
        </w:rPr>
        <w:t xml:space="preserve">, </w:t>
      </w:r>
      <w:r>
        <w:rPr>
          <w:bCs/>
          <w:sz w:val="24"/>
          <w:szCs w:val="24"/>
        </w:rPr>
        <w:t xml:space="preserve">соисполнителем </w:t>
      </w:r>
      <w:r>
        <w:rPr>
          <w:sz w:val="24"/>
          <w:szCs w:val="24"/>
        </w:rPr>
        <w:t>УЖКХ ТиС в сумме 18 362,03 тыс.руб., а также участниками программы УВГТ в сумме 1 526,21 тыс.руб., УМСП КиС в сумме 10 426,0 тыс.руб., Управлением образования в сумме 9 381,99 тыс.руб., УИО в сумме 1 381,97 тыс.руб.</w:t>
      </w:r>
    </w:p>
    <w:p>
      <w:pPr>
        <w:ind w:right="55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Бюджетные ассигнования направлены на:</w:t>
      </w:r>
    </w:p>
    <w:p>
      <w:pPr>
        <w:pStyle w:val="a5"/>
        <w:tabs>
          <w:tab w:val="left" w:pos="993"/>
        </w:tabs>
        <w:spacing w:after="0" w:line="264" w:lineRule="auto"/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 профилактику преступлений и иных правонарушений в объеме 306,6 тыс.руб., в том числе:</w:t>
      </w:r>
    </w:p>
    <w:p>
      <w:pPr>
        <w:pStyle w:val="a5"/>
        <w:numPr>
          <w:ilvl w:val="0"/>
          <w:numId w:val="18"/>
        </w:numPr>
        <w:tabs>
          <w:tab w:val="left" w:pos="993"/>
        </w:tabs>
        <w:spacing w:after="0" w:line="264" w:lineRule="auto"/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>на финансовую поддержку «народных дружинников» - 300,00 тыс</w:t>
      </w:r>
      <w:proofErr w:type="gramStart"/>
      <w:r>
        <w:rPr>
          <w:bCs/>
          <w:sz w:val="24"/>
          <w:szCs w:val="24"/>
        </w:rPr>
        <w:t>.р</w:t>
      </w:r>
      <w:proofErr w:type="gramEnd"/>
      <w:r>
        <w:rPr>
          <w:bCs/>
          <w:sz w:val="24"/>
          <w:szCs w:val="24"/>
        </w:rPr>
        <w:t xml:space="preserve">уб.; </w:t>
      </w:r>
    </w:p>
    <w:p>
      <w:pPr>
        <w:pStyle w:val="a5"/>
        <w:numPr>
          <w:ilvl w:val="0"/>
          <w:numId w:val="18"/>
        </w:numPr>
        <w:tabs>
          <w:tab w:val="left" w:pos="993"/>
        </w:tabs>
        <w:spacing w:after="0" w:line="264" w:lineRule="auto"/>
        <w:ind w:left="0"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на </w:t>
      </w:r>
      <w:r>
        <w:rPr>
          <w:sz w:val="24"/>
          <w:szCs w:val="24"/>
        </w:rPr>
        <w:t xml:space="preserve">изготовление информационных материалов антитеррористической </w:t>
      </w:r>
      <w:r>
        <w:rPr>
          <w:sz w:val="24"/>
          <w:szCs w:val="24"/>
        </w:rPr>
        <w:br/>
        <w:t xml:space="preserve">и </w:t>
      </w:r>
      <w:proofErr w:type="spellStart"/>
      <w:r>
        <w:rPr>
          <w:sz w:val="24"/>
          <w:szCs w:val="24"/>
        </w:rPr>
        <w:t>антиэкстремистской</w:t>
      </w:r>
      <w:proofErr w:type="spellEnd"/>
      <w:r>
        <w:rPr>
          <w:sz w:val="24"/>
          <w:szCs w:val="24"/>
        </w:rPr>
        <w:t xml:space="preserve"> направленности для распространения среди различных категорий граждан, в образовательных учреждениях, учреждениях культуры, на объектах </w:t>
      </w:r>
      <w:r>
        <w:rPr>
          <w:sz w:val="24"/>
          <w:szCs w:val="24"/>
        </w:rPr>
        <w:br/>
        <w:t>с массовым пребыванием людей в сумме 6,6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уб.</w:t>
      </w:r>
    </w:p>
    <w:p>
      <w:pPr>
        <w:ind w:right="55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</w:t>
      </w:r>
      <w:r>
        <w:t> </w:t>
      </w:r>
      <w:r>
        <w:rPr>
          <w:bCs/>
          <w:sz w:val="24"/>
          <w:szCs w:val="24"/>
        </w:rPr>
        <w:t>обеспечение первичных мер пожарной безопасности на территории ЗАТО Северск в объеме 21 195,39 тыс.руб., из них:</w:t>
      </w:r>
    </w:p>
    <w:p>
      <w:pPr>
        <w:pStyle w:val="af8"/>
        <w:numPr>
          <w:ilvl w:val="0"/>
          <w:numId w:val="16"/>
        </w:numPr>
        <w:tabs>
          <w:tab w:val="left" w:pos="993"/>
        </w:tabs>
        <w:ind w:left="0" w:right="55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 обеспечение пожарной безопасности в муниципальных учреждениях </w:t>
      </w:r>
      <w:r>
        <w:rPr>
          <w:sz w:val="24"/>
          <w:szCs w:val="24"/>
        </w:rPr>
        <w:br/>
        <w:t>в сумме 19 526,92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уб., в т.ч.: в зданиях образовательных учреждений – 9 100,92 тыс.руб., в зданиях учреждений культуры – 3 000,0 тыс.руб., в зданиях учреждений дополнительного образования – 2 352,65 тыс.руб., в зданиях детских оздоровительных лагерей – 5 073,35 тыс.руб.;</w:t>
      </w:r>
    </w:p>
    <w:p>
      <w:pPr>
        <w:pStyle w:val="af8"/>
        <w:numPr>
          <w:ilvl w:val="0"/>
          <w:numId w:val="16"/>
        </w:numPr>
        <w:tabs>
          <w:tab w:val="left" w:pos="993"/>
        </w:tabs>
        <w:ind w:left="0" w:right="55"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устройство и обновление противопожарных минерализованных полос, прочистка просек, размещение аншлагов, содержащих информацию о мерах пожарной безопасности в лесах, приобретение автомобиля грузового УАЗ в сумме </w:t>
      </w:r>
      <w:r>
        <w:rPr>
          <w:sz w:val="24"/>
          <w:szCs w:val="24"/>
        </w:rPr>
        <w:br/>
        <w:t>1 427,31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уб.;</w:t>
      </w:r>
    </w:p>
    <w:p>
      <w:pPr>
        <w:pStyle w:val="af8"/>
        <w:numPr>
          <w:ilvl w:val="0"/>
          <w:numId w:val="16"/>
        </w:numPr>
        <w:tabs>
          <w:tab w:val="left" w:pos="993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на проведение викторин среди учащихся муниципальных общеобразовательных учреждений на знание правил пожарной безопасности и поведения учащихся в экстремальных ситуациях, на проведение конкурса в муниципальных дошкольных образовательных учреждениях на лучший рисунок на тему «Служба спасения 01», на проведение муниципального этапа соревнований среди учащихся образовательных учреждений по программе «Школа безопасности» в общей сумме 223,85 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уб.</w:t>
      </w:r>
    </w:p>
    <w:p>
      <w:pPr>
        <w:pStyle w:val="af8"/>
        <w:numPr>
          <w:ilvl w:val="0"/>
          <w:numId w:val="16"/>
        </w:numPr>
        <w:tabs>
          <w:tab w:val="left" w:pos="993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на распространение материалов по противопожарной пропаганде на территории населенных пунктов и о мерах пожарной безопасности в лесах в сумме 17,31  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уб.</w:t>
      </w:r>
    </w:p>
    <w:p>
      <w:pPr>
        <w:pStyle w:val="af8"/>
        <w:ind w:left="0" w:right="55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 повышение уровня защиты населения и территории ЗАТО Северск от чрезвычайных ситуаций мирного и военного времени в объеме 16 682,07 тыс.руб., </w:t>
      </w:r>
      <w:r>
        <w:rPr>
          <w:bCs/>
          <w:sz w:val="24"/>
          <w:szCs w:val="24"/>
        </w:rPr>
        <w:br/>
        <w:t>в том числе:</w:t>
      </w:r>
    </w:p>
    <w:p>
      <w:pPr>
        <w:pStyle w:val="af8"/>
        <w:numPr>
          <w:ilvl w:val="0"/>
          <w:numId w:val="11"/>
        </w:numPr>
        <w:tabs>
          <w:tab w:val="left" w:pos="993"/>
        </w:tabs>
        <w:ind w:left="0" w:right="55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на обеспечение деятельности МКУ «Единая дежурно-диспетчерская служба ЗАТО Северск» в сумме 12 819,51 тыс</w:t>
      </w:r>
      <w:proofErr w:type="gramStart"/>
      <w:r>
        <w:rPr>
          <w:bCs/>
          <w:sz w:val="24"/>
          <w:szCs w:val="24"/>
        </w:rPr>
        <w:t>.р</w:t>
      </w:r>
      <w:proofErr w:type="gramEnd"/>
      <w:r>
        <w:rPr>
          <w:bCs/>
          <w:sz w:val="24"/>
          <w:szCs w:val="24"/>
        </w:rPr>
        <w:t>уб.;</w:t>
      </w:r>
    </w:p>
    <w:p>
      <w:pPr>
        <w:pStyle w:val="af8"/>
        <w:numPr>
          <w:ilvl w:val="0"/>
          <w:numId w:val="11"/>
        </w:numPr>
        <w:tabs>
          <w:tab w:val="left" w:pos="993"/>
        </w:tabs>
        <w:ind w:left="0" w:right="55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на обеспечение безопасного пребывания людей на водных объектах в сумме </w:t>
      </w:r>
      <w:r>
        <w:rPr>
          <w:bCs/>
          <w:color w:val="000000" w:themeColor="text1"/>
          <w:sz w:val="24"/>
          <w:szCs w:val="24"/>
        </w:rPr>
        <w:t>1 715,12 тыс</w:t>
      </w:r>
      <w:proofErr w:type="gramStart"/>
      <w:r>
        <w:rPr>
          <w:bCs/>
          <w:sz w:val="24"/>
          <w:szCs w:val="24"/>
        </w:rPr>
        <w:t>.р</w:t>
      </w:r>
      <w:proofErr w:type="gramEnd"/>
      <w:r>
        <w:rPr>
          <w:bCs/>
          <w:sz w:val="24"/>
          <w:szCs w:val="24"/>
        </w:rPr>
        <w:t>уб.</w:t>
      </w:r>
      <w:r>
        <w:rPr>
          <w:sz w:val="24"/>
          <w:szCs w:val="24"/>
        </w:rPr>
        <w:t>;</w:t>
      </w:r>
      <w:r>
        <w:rPr>
          <w:bCs/>
          <w:sz w:val="24"/>
          <w:szCs w:val="24"/>
        </w:rPr>
        <w:t xml:space="preserve"> </w:t>
      </w:r>
    </w:p>
    <w:p>
      <w:pPr>
        <w:pStyle w:val="af8"/>
        <w:numPr>
          <w:ilvl w:val="0"/>
          <w:numId w:val="11"/>
        </w:numPr>
        <w:tabs>
          <w:tab w:val="left" w:pos="993"/>
        </w:tabs>
        <w:ind w:left="0" w:right="55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на выполнение противоклещевой обработки лесопарковой зоны на территории г</w:t>
      </w:r>
      <w:proofErr w:type="gramStart"/>
      <w:r>
        <w:rPr>
          <w:bCs/>
          <w:sz w:val="24"/>
          <w:szCs w:val="24"/>
        </w:rPr>
        <w:t>.С</w:t>
      </w:r>
      <w:proofErr w:type="gramEnd"/>
      <w:r>
        <w:rPr>
          <w:bCs/>
          <w:sz w:val="24"/>
          <w:szCs w:val="24"/>
        </w:rPr>
        <w:t xml:space="preserve">еверска в </w:t>
      </w:r>
      <w:r>
        <w:rPr>
          <w:bCs/>
          <w:color w:val="000000" w:themeColor="text1"/>
          <w:sz w:val="24"/>
          <w:szCs w:val="24"/>
        </w:rPr>
        <w:t>сумме 1000,0</w:t>
      </w:r>
      <w:r>
        <w:rPr>
          <w:bCs/>
          <w:sz w:val="24"/>
          <w:szCs w:val="24"/>
        </w:rPr>
        <w:t xml:space="preserve"> тыс.руб.;</w:t>
      </w:r>
    </w:p>
    <w:p>
      <w:pPr>
        <w:pStyle w:val="af8"/>
        <w:numPr>
          <w:ilvl w:val="0"/>
          <w:numId w:val="11"/>
        </w:numPr>
        <w:tabs>
          <w:tab w:val="left" w:pos="993"/>
        </w:tabs>
        <w:ind w:left="0" w:right="55" w:firstLine="709"/>
        <w:jc w:val="both"/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>на проведение мероприятий по обеспечению безаварийного пропуска талых вод в сумме 765,68 тыс</w:t>
      </w:r>
      <w:proofErr w:type="gramStart"/>
      <w:r>
        <w:rPr>
          <w:bCs/>
          <w:color w:val="000000" w:themeColor="text1"/>
          <w:sz w:val="24"/>
          <w:szCs w:val="24"/>
        </w:rPr>
        <w:t>.р</w:t>
      </w:r>
      <w:proofErr w:type="gramEnd"/>
      <w:r>
        <w:rPr>
          <w:bCs/>
          <w:color w:val="000000" w:themeColor="text1"/>
          <w:sz w:val="24"/>
          <w:szCs w:val="24"/>
        </w:rPr>
        <w:t xml:space="preserve">уб.; </w:t>
      </w:r>
    </w:p>
    <w:p>
      <w:pPr>
        <w:pStyle w:val="af8"/>
        <w:numPr>
          <w:ilvl w:val="0"/>
          <w:numId w:val="11"/>
        </w:numPr>
        <w:tabs>
          <w:tab w:val="left" w:pos="993"/>
        </w:tabs>
        <w:ind w:left="0" w:right="55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на содержание объектов гражданской обороны в </w:t>
      </w:r>
      <w:r>
        <w:rPr>
          <w:bCs/>
          <w:color w:val="000000" w:themeColor="text1"/>
          <w:sz w:val="24"/>
          <w:szCs w:val="24"/>
        </w:rPr>
        <w:t>сумме 381,76</w:t>
      </w:r>
      <w:r>
        <w:rPr>
          <w:bCs/>
          <w:sz w:val="24"/>
          <w:szCs w:val="24"/>
        </w:rPr>
        <w:t xml:space="preserve"> тыс</w:t>
      </w:r>
      <w:proofErr w:type="gramStart"/>
      <w:r>
        <w:rPr>
          <w:bCs/>
          <w:sz w:val="24"/>
          <w:szCs w:val="24"/>
        </w:rPr>
        <w:t>.р</w:t>
      </w:r>
      <w:proofErr w:type="gramEnd"/>
      <w:r>
        <w:rPr>
          <w:bCs/>
          <w:sz w:val="24"/>
          <w:szCs w:val="24"/>
        </w:rPr>
        <w:t>уб.;</w:t>
      </w:r>
    </w:p>
    <w:p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 повышение безопасности дорожного движения на территории ЗАТО Северск в объеме 17 851,57 тыс. руб., из них: </w:t>
      </w:r>
    </w:p>
    <w:p>
      <w:pPr>
        <w:pStyle w:val="af8"/>
        <w:numPr>
          <w:ilvl w:val="0"/>
          <w:numId w:val="24"/>
        </w:numPr>
        <w:tabs>
          <w:tab w:val="left" w:pos="993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на территории г</w:t>
      </w:r>
      <w:proofErr w:type="gramStart"/>
      <w:r>
        <w:rPr>
          <w:bCs/>
          <w:sz w:val="24"/>
          <w:szCs w:val="24"/>
        </w:rPr>
        <w:t>.С</w:t>
      </w:r>
      <w:proofErr w:type="gramEnd"/>
      <w:r>
        <w:rPr>
          <w:bCs/>
          <w:sz w:val="24"/>
          <w:szCs w:val="24"/>
        </w:rPr>
        <w:t xml:space="preserve">еверска в общей сумме 15 901,31 тыс.руб., из них: </w:t>
      </w:r>
    </w:p>
    <w:p>
      <w:pPr>
        <w:pStyle w:val="af8"/>
        <w:numPr>
          <w:ilvl w:val="0"/>
          <w:numId w:val="29"/>
        </w:numPr>
        <w:tabs>
          <w:tab w:val="left" w:pos="993"/>
        </w:tabs>
        <w:ind w:left="1560" w:hanging="284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нанесение 327,37 км дорожной разметки  (6 373,57 тыс</w:t>
      </w:r>
      <w:proofErr w:type="gramStart"/>
      <w:r>
        <w:rPr>
          <w:bCs/>
          <w:sz w:val="24"/>
          <w:szCs w:val="24"/>
        </w:rPr>
        <w:t>.р</w:t>
      </w:r>
      <w:proofErr w:type="gramEnd"/>
      <w:r>
        <w:rPr>
          <w:bCs/>
          <w:sz w:val="24"/>
          <w:szCs w:val="24"/>
        </w:rPr>
        <w:t>уб.);</w:t>
      </w:r>
    </w:p>
    <w:p>
      <w:pPr>
        <w:pStyle w:val="af8"/>
        <w:numPr>
          <w:ilvl w:val="0"/>
          <w:numId w:val="29"/>
        </w:numPr>
        <w:tabs>
          <w:tab w:val="left" w:pos="993"/>
        </w:tabs>
        <w:ind w:left="1560" w:hanging="284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приобретение и установка 456 дорожных знаков (3 614,81 тыс</w:t>
      </w:r>
      <w:proofErr w:type="gramStart"/>
      <w:r>
        <w:rPr>
          <w:bCs/>
          <w:sz w:val="24"/>
          <w:szCs w:val="24"/>
        </w:rPr>
        <w:t>.р</w:t>
      </w:r>
      <w:proofErr w:type="gramEnd"/>
      <w:r>
        <w:rPr>
          <w:bCs/>
          <w:sz w:val="24"/>
          <w:szCs w:val="24"/>
        </w:rPr>
        <w:t>уб.);</w:t>
      </w:r>
    </w:p>
    <w:p>
      <w:pPr>
        <w:pStyle w:val="af8"/>
        <w:numPr>
          <w:ilvl w:val="0"/>
          <w:numId w:val="29"/>
        </w:numPr>
        <w:tabs>
          <w:tab w:val="left" w:pos="993"/>
        </w:tabs>
        <w:ind w:left="1560" w:hanging="284"/>
        <w:jc w:val="both"/>
        <w:rPr>
          <w:bCs/>
          <w:sz w:val="24"/>
          <w:szCs w:val="24"/>
        </w:rPr>
      </w:pPr>
      <w:r>
        <w:rPr>
          <w:sz w:val="24"/>
          <w:szCs w:val="24"/>
        </w:rPr>
        <w:t>расчистка 640 м</w:t>
      </w:r>
      <w:r>
        <w:rPr>
          <w:sz w:val="24"/>
          <w:szCs w:val="24"/>
          <w:vertAlign w:val="superscript"/>
        </w:rPr>
        <w:t>3</w:t>
      </w:r>
      <w:r>
        <w:rPr>
          <w:sz w:val="24"/>
          <w:szCs w:val="24"/>
        </w:rPr>
        <w:t xml:space="preserve"> придорожных полос (953,36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уб.);</w:t>
      </w:r>
    </w:p>
    <w:p>
      <w:pPr>
        <w:pStyle w:val="af8"/>
        <w:numPr>
          <w:ilvl w:val="0"/>
          <w:numId w:val="29"/>
        </w:numPr>
        <w:tabs>
          <w:tab w:val="left" w:pos="993"/>
        </w:tabs>
        <w:ind w:left="1560" w:hanging="284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разработка ПСД для приобретения и установки новых светофорных объектов (419,97 тыс</w:t>
      </w:r>
      <w:proofErr w:type="gramStart"/>
      <w:r>
        <w:rPr>
          <w:bCs/>
          <w:sz w:val="24"/>
          <w:szCs w:val="24"/>
        </w:rPr>
        <w:t>.р</w:t>
      </w:r>
      <w:proofErr w:type="gramEnd"/>
      <w:r>
        <w:rPr>
          <w:bCs/>
          <w:sz w:val="24"/>
          <w:szCs w:val="24"/>
        </w:rPr>
        <w:t>уб.)</w:t>
      </w:r>
    </w:p>
    <w:p>
      <w:pPr>
        <w:pStyle w:val="af8"/>
        <w:numPr>
          <w:ilvl w:val="0"/>
          <w:numId w:val="29"/>
        </w:numPr>
        <w:tabs>
          <w:tab w:val="left" w:pos="993"/>
        </w:tabs>
        <w:ind w:left="1560" w:hanging="284"/>
        <w:jc w:val="both"/>
        <w:rPr>
          <w:bCs/>
          <w:sz w:val="24"/>
          <w:szCs w:val="24"/>
        </w:rPr>
      </w:pPr>
      <w:r>
        <w:rPr>
          <w:sz w:val="24"/>
          <w:szCs w:val="24"/>
        </w:rPr>
        <w:t>обустройство 1 пешеходного перехода искусственными дорожными неровностями (183,98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 xml:space="preserve">уб.); </w:t>
      </w:r>
    </w:p>
    <w:p>
      <w:pPr>
        <w:pStyle w:val="af8"/>
        <w:numPr>
          <w:ilvl w:val="0"/>
          <w:numId w:val="29"/>
        </w:numPr>
        <w:tabs>
          <w:tab w:val="left" w:pos="993"/>
        </w:tabs>
        <w:ind w:left="1560" w:hanging="284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установка 92,4 м пешеходных ограждений (109,66 тыс</w:t>
      </w:r>
      <w:proofErr w:type="gramStart"/>
      <w:r>
        <w:rPr>
          <w:bCs/>
          <w:sz w:val="24"/>
          <w:szCs w:val="24"/>
        </w:rPr>
        <w:t>.р</w:t>
      </w:r>
      <w:proofErr w:type="gramEnd"/>
      <w:r>
        <w:rPr>
          <w:bCs/>
          <w:sz w:val="24"/>
          <w:szCs w:val="24"/>
        </w:rPr>
        <w:t>уб.);</w:t>
      </w:r>
    </w:p>
    <w:p>
      <w:pPr>
        <w:pStyle w:val="af8"/>
        <w:numPr>
          <w:ilvl w:val="0"/>
          <w:numId w:val="29"/>
        </w:numPr>
        <w:tabs>
          <w:tab w:val="left" w:pos="993"/>
        </w:tabs>
        <w:ind w:left="1560" w:hanging="284"/>
        <w:jc w:val="both"/>
        <w:rPr>
          <w:bCs/>
          <w:sz w:val="24"/>
          <w:szCs w:val="24"/>
        </w:rPr>
      </w:pPr>
      <w:r>
        <w:rPr>
          <w:sz w:val="24"/>
          <w:szCs w:val="24"/>
        </w:rPr>
        <w:t>ликвидация и обустройство 1 пешеходного перехода (51,89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уб.);</w:t>
      </w:r>
    </w:p>
    <w:p>
      <w:pPr>
        <w:pStyle w:val="af8"/>
        <w:numPr>
          <w:ilvl w:val="0"/>
          <w:numId w:val="24"/>
        </w:numPr>
        <w:tabs>
          <w:tab w:val="left" w:pos="993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на внегородских территориях выполнены работы по нанесению дорожной разметки (86,65 км) в сумме 1 473,07</w:t>
      </w:r>
      <w:r>
        <w:rPr>
          <w:bCs/>
          <w:sz w:val="24"/>
          <w:szCs w:val="24"/>
          <w:lang w:val="en-US"/>
        </w:rPr>
        <w:t> </w:t>
      </w:r>
      <w:r>
        <w:rPr>
          <w:bCs/>
          <w:sz w:val="24"/>
          <w:szCs w:val="24"/>
        </w:rPr>
        <w:t>тыс</w:t>
      </w:r>
      <w:proofErr w:type="gramStart"/>
      <w:r>
        <w:rPr>
          <w:bCs/>
          <w:sz w:val="24"/>
          <w:szCs w:val="24"/>
        </w:rPr>
        <w:t>.р</w:t>
      </w:r>
      <w:proofErr w:type="gramEnd"/>
      <w:r>
        <w:rPr>
          <w:bCs/>
          <w:sz w:val="24"/>
          <w:szCs w:val="24"/>
        </w:rPr>
        <w:t>уб.</w:t>
      </w:r>
    </w:p>
    <w:p>
      <w:pPr>
        <w:ind w:right="55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 обеспечение деятельности ответственного исполнителя программы в объеме 10 825,95 тыс.руб.</w:t>
      </w:r>
    </w:p>
    <w:p>
      <w:pPr>
        <w:ind w:right="55" w:firstLine="708"/>
        <w:jc w:val="both"/>
        <w:rPr>
          <w:bCs/>
          <w:color w:val="FF0000"/>
          <w:sz w:val="24"/>
          <w:szCs w:val="24"/>
        </w:rPr>
      </w:pPr>
    </w:p>
    <w:p>
      <w:pPr>
        <w:ind w:right="55"/>
        <w:jc w:val="center"/>
        <w:rPr>
          <w:b/>
          <w:bCs/>
          <w:i/>
          <w:sz w:val="24"/>
          <w:szCs w:val="24"/>
        </w:rPr>
      </w:pPr>
      <w:r>
        <w:rPr>
          <w:b/>
          <w:bCs/>
          <w:i/>
          <w:sz w:val="24"/>
          <w:szCs w:val="24"/>
        </w:rPr>
        <w:lastRenderedPageBreak/>
        <w:t>4.1.5.12. Муниципальная программа</w:t>
      </w:r>
    </w:p>
    <w:p>
      <w:pPr>
        <w:spacing w:after="120"/>
        <w:ind w:right="57"/>
        <w:jc w:val="center"/>
        <w:rPr>
          <w:b/>
          <w:bCs/>
          <w:i/>
          <w:sz w:val="24"/>
          <w:szCs w:val="24"/>
        </w:rPr>
      </w:pPr>
      <w:r>
        <w:rPr>
          <w:b/>
          <w:bCs/>
          <w:i/>
          <w:sz w:val="24"/>
          <w:szCs w:val="24"/>
        </w:rPr>
        <w:t>«Охрана окружающей среды на территории ЗАТО Северск»</w:t>
      </w:r>
    </w:p>
    <w:p>
      <w:pPr>
        <w:pStyle w:val="ConsPlusNormal"/>
        <w:ind w:firstLine="709"/>
        <w:jc w:val="both"/>
      </w:pPr>
      <w:r>
        <w:rPr>
          <w:bCs/>
        </w:rPr>
        <w:t>Программа исполнена в общей сумме 8 072,45 тыс.руб. ответственным исполнителем Администрацией ЗАТО Северск в сумме 224,22 тыс.руб.</w:t>
      </w:r>
      <w:r>
        <w:t xml:space="preserve">, </w:t>
      </w:r>
      <w:r>
        <w:rPr>
          <w:bCs/>
        </w:rPr>
        <w:t xml:space="preserve">а также участниками программы </w:t>
      </w:r>
      <w:r>
        <w:t>УЖКХ ТиС</w:t>
      </w:r>
      <w:r>
        <w:rPr>
          <w:bCs/>
        </w:rPr>
        <w:t xml:space="preserve"> в сумме 5 181,88 тыс.руб., </w:t>
      </w:r>
      <w:r>
        <w:t>УВГТ</w:t>
      </w:r>
      <w:r>
        <w:rPr>
          <w:bCs/>
        </w:rPr>
        <w:t xml:space="preserve"> Администрации ЗАТО Северск в сумме 490,62 тыс.руб., Управлением образования Администрации ЗАТО Северск в сумме 89,17 тыс.руб., УИО Администрации ЗАТО Северск в сумме 2 086,56 тыс. руб. </w:t>
      </w:r>
    </w:p>
    <w:p>
      <w:pPr>
        <w:ind w:right="55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Бюджетные ассигнования направлены на:</w:t>
      </w:r>
    </w:p>
    <w:p>
      <w:pPr>
        <w:autoSpaceDE w:val="0"/>
        <w:autoSpaceDN w:val="0"/>
        <w:adjustRightInd w:val="0"/>
        <w:ind w:firstLine="709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- мероприятия подпрограммы «Чистый город» в объеме 7 391,28 тыс.руб., в том числе:     </w:t>
      </w:r>
    </w:p>
    <w:p>
      <w:pPr>
        <w:pStyle w:val="af8"/>
        <w:numPr>
          <w:ilvl w:val="0"/>
          <w:numId w:val="24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>на сумму 5 181,88 тыс. руб. ликвидированы несанкционированные свалки (исполнитель - УЖКХ ТиС), объем вывезенных отходов на полигон ТБО составил                    3 760 м</w:t>
      </w:r>
      <w:r>
        <w:rPr>
          <w:sz w:val="24"/>
          <w:szCs w:val="24"/>
          <w:vertAlign w:val="superscript"/>
        </w:rPr>
        <w:t>3</w:t>
      </w:r>
      <w:r>
        <w:rPr>
          <w:sz w:val="24"/>
          <w:szCs w:val="24"/>
        </w:rPr>
        <w:t>;</w:t>
      </w:r>
    </w:p>
    <w:p>
      <w:pPr>
        <w:pStyle w:val="af8"/>
        <w:numPr>
          <w:ilvl w:val="0"/>
          <w:numId w:val="24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на сумму 2 086,56 тыс. руб. (из них 1 043,28 тыс. руб. за счет средств областного бюджета) приобретено 238 контейнеров для ТКО (исполнитель - УИО); </w:t>
      </w:r>
    </w:p>
    <w:p>
      <w:pPr>
        <w:pStyle w:val="af8"/>
        <w:numPr>
          <w:ilvl w:val="0"/>
          <w:numId w:val="24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основное мероприятие: экологическое воспитание, образование и информирование населения в объеме 122,84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 xml:space="preserve">уб., в том числе: </w:t>
      </w:r>
    </w:p>
    <w:p>
      <w:pPr>
        <w:pStyle w:val="af8"/>
        <w:numPr>
          <w:ilvl w:val="0"/>
          <w:numId w:val="36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на сумму 89,17 тыс. руб. (исполнитель - УО) в рамках экологического воспитания и образования школьников и дошкольников проведено 14 общегородских мероприятия, в которых приняли участие 8,0% детей от количества обучающихся в образовательных </w:t>
      </w:r>
      <w:proofErr w:type="gramStart"/>
      <w:r>
        <w:rPr>
          <w:sz w:val="24"/>
          <w:szCs w:val="24"/>
        </w:rPr>
        <w:t>организациях</w:t>
      </w:r>
      <w:proofErr w:type="gramEnd"/>
      <w:r>
        <w:rPr>
          <w:sz w:val="24"/>
          <w:szCs w:val="24"/>
        </w:rPr>
        <w:t xml:space="preserve"> ЗАТО Северск; </w:t>
      </w:r>
    </w:p>
    <w:p>
      <w:pPr>
        <w:pStyle w:val="af8"/>
        <w:numPr>
          <w:ilvl w:val="0"/>
          <w:numId w:val="35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на сумму 22,84 тыс. руб. издан 61 экземпляр ежегодного обзора «Состояние окружающей природной среды на </w:t>
      </w:r>
      <w:proofErr w:type="gramStart"/>
      <w:r>
        <w:rPr>
          <w:sz w:val="24"/>
          <w:szCs w:val="24"/>
        </w:rPr>
        <w:t>территории</w:t>
      </w:r>
      <w:proofErr w:type="gramEnd"/>
      <w:r>
        <w:rPr>
          <w:sz w:val="24"/>
          <w:szCs w:val="24"/>
        </w:rPr>
        <w:t xml:space="preserve"> ЗАТО Северск»; </w:t>
      </w:r>
    </w:p>
    <w:p>
      <w:pPr>
        <w:pStyle w:val="af8"/>
        <w:numPr>
          <w:ilvl w:val="0"/>
          <w:numId w:val="35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на сумму 10,83 тыс. руб. издано 1 755 экземпляров листовок, посвященных вопросам экологического воспитания; </w:t>
      </w:r>
    </w:p>
    <w:p>
      <w:pPr>
        <w:pStyle w:val="af8"/>
        <w:tabs>
          <w:tab w:val="left" w:pos="1134"/>
        </w:tabs>
        <w:autoSpaceDE w:val="0"/>
        <w:autoSpaceDN w:val="0"/>
        <w:adjustRightInd w:val="0"/>
        <w:ind w:left="0" w:hanging="709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                        - основное мероприятие: «Обследование состояния природных объектов ООПТ» выполнено на сумму 157,93 тыс. руб.: </w:t>
      </w:r>
      <w:r>
        <w:rPr>
          <w:bCs/>
          <w:sz w:val="24"/>
          <w:szCs w:val="24"/>
        </w:rPr>
        <w:t xml:space="preserve">по мероприятию </w:t>
      </w:r>
      <w:r>
        <w:rPr>
          <w:sz w:val="24"/>
          <w:szCs w:val="24"/>
        </w:rPr>
        <w:t xml:space="preserve">«проведение гидрологических исследований водной экосистемы ООПТ» гидрологами ФГАОУ ВО «НИ ТГУ» проведены промерные работы на озерах Круглое и </w:t>
      </w:r>
      <w:proofErr w:type="spellStart"/>
      <w:r>
        <w:rPr>
          <w:sz w:val="24"/>
          <w:szCs w:val="24"/>
        </w:rPr>
        <w:t>Мальцево</w:t>
      </w:r>
      <w:proofErr w:type="spellEnd"/>
      <w:r>
        <w:rPr>
          <w:sz w:val="24"/>
          <w:szCs w:val="24"/>
        </w:rPr>
        <w:t>. Представлен итоговый отчет о современном состоянии озер, даны рекомендации по сохранению озерного комплекса (</w:t>
      </w:r>
      <w:proofErr w:type="spellStart"/>
      <w:r>
        <w:rPr>
          <w:sz w:val="24"/>
          <w:szCs w:val="24"/>
        </w:rPr>
        <w:t>ОООСиПР</w:t>
      </w:r>
      <w:proofErr w:type="spellEnd"/>
      <w:r>
        <w:rPr>
          <w:sz w:val="24"/>
          <w:szCs w:val="24"/>
        </w:rPr>
        <w:t>);</w:t>
      </w:r>
    </w:p>
    <w:p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 основное мероприятие: «Содержание рекреационной зоны ООПТ» выполнено УВГТ в объеме 484,78 тыс.руб., в том числе: </w:t>
      </w:r>
    </w:p>
    <w:p>
      <w:pPr>
        <w:pStyle w:val="af8"/>
        <w:numPr>
          <w:ilvl w:val="0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на сумму 194,36 тыс. руб. ликвидированы несанкционированные места хранения отходов в лесах, расположенных на ООПТ, общий объем вывезенных отходов на полигон твердых бытовых отходов составил 234,0 м</w:t>
      </w:r>
      <w:r>
        <w:rPr>
          <w:sz w:val="24"/>
          <w:szCs w:val="24"/>
          <w:vertAlign w:val="superscript"/>
        </w:rPr>
        <w:t>3</w:t>
      </w:r>
      <w:r>
        <w:rPr>
          <w:sz w:val="24"/>
          <w:szCs w:val="24"/>
        </w:rPr>
        <w:t>;</w:t>
      </w:r>
    </w:p>
    <w:p>
      <w:pPr>
        <w:pStyle w:val="af8"/>
        <w:numPr>
          <w:ilvl w:val="0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на площади 15,5 га производилась регулярная санитарная уборка пляжей озер в теплый период времени года (вывезено 304,50 м</w:t>
      </w:r>
      <w:r>
        <w:rPr>
          <w:sz w:val="24"/>
          <w:szCs w:val="24"/>
          <w:vertAlign w:val="superscript"/>
        </w:rPr>
        <w:t xml:space="preserve">3 </w:t>
      </w:r>
      <w:r>
        <w:rPr>
          <w:sz w:val="24"/>
          <w:szCs w:val="24"/>
        </w:rPr>
        <w:t>отходов) на сумму 281,17 тыс. руб.;</w:t>
      </w:r>
    </w:p>
    <w:p>
      <w:pPr>
        <w:pStyle w:val="af8"/>
        <w:numPr>
          <w:ilvl w:val="0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 сумму 9,25 тыс. руб. осуществлена покраска </w:t>
      </w:r>
      <w:r>
        <w:rPr>
          <w:sz w:val="24"/>
          <w:szCs w:val="24"/>
          <w:shd w:val="clear" w:color="auto" w:fill="FFFFFF"/>
        </w:rPr>
        <w:t>16 контейнеров для ТКО, 2 грибка, 2 кабинки для переодевания, 6 туалетов)</w:t>
      </w:r>
      <w:r>
        <w:rPr>
          <w:sz w:val="24"/>
          <w:szCs w:val="24"/>
        </w:rPr>
        <w:t>;</w:t>
      </w:r>
    </w:p>
    <w:p>
      <w:pPr>
        <w:pStyle w:val="af8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- основное мероприятие: организация охраны ООПТ и повышение информированности населения о правилах поведения на территории ООПТ» выполнено на сумму 38,46 тыс. руб., в том числе:</w:t>
      </w:r>
    </w:p>
    <w:p>
      <w:pPr>
        <w:pStyle w:val="af8"/>
        <w:numPr>
          <w:ilvl w:val="0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на сумму 5,84 тыс. руб. осуществлено восстановление 2 информационных аншлагов по периметру ООПТ (исполнитель - УВГТ);</w:t>
      </w:r>
    </w:p>
    <w:p>
      <w:pPr>
        <w:pStyle w:val="af8"/>
        <w:numPr>
          <w:ilvl w:val="0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 сумму 32,62 тыс. руб. изготовлено 4 707 экземпляров листовок и плакатов в целях информирования населения о правилах поведения на ООПТ (исполнитель - </w:t>
      </w:r>
      <w:proofErr w:type="gramStart"/>
      <w:r>
        <w:rPr>
          <w:sz w:val="24"/>
          <w:szCs w:val="24"/>
        </w:rPr>
        <w:t>Администрация</w:t>
      </w:r>
      <w:proofErr w:type="gramEnd"/>
      <w:r>
        <w:rPr>
          <w:sz w:val="24"/>
          <w:szCs w:val="24"/>
        </w:rPr>
        <w:t xml:space="preserve"> ЗАТО Северск). Полиграфическая продукция распространялась по учреждениям образовательной сферы ЗАТО Северск, среди граждан, находящихся на ООПТ.</w:t>
      </w:r>
    </w:p>
    <w:p>
      <w:pPr>
        <w:ind w:right="55"/>
        <w:jc w:val="both"/>
        <w:rPr>
          <w:bCs/>
          <w:sz w:val="24"/>
          <w:szCs w:val="24"/>
        </w:rPr>
      </w:pPr>
    </w:p>
    <w:p>
      <w:pPr>
        <w:ind w:right="55"/>
        <w:jc w:val="both"/>
        <w:rPr>
          <w:bCs/>
          <w:sz w:val="24"/>
          <w:szCs w:val="24"/>
        </w:rPr>
      </w:pPr>
    </w:p>
    <w:p>
      <w:pPr>
        <w:ind w:right="55"/>
        <w:jc w:val="center"/>
        <w:rPr>
          <w:b/>
          <w:bCs/>
          <w:i/>
          <w:sz w:val="24"/>
          <w:szCs w:val="24"/>
        </w:rPr>
      </w:pPr>
      <w:r>
        <w:rPr>
          <w:b/>
          <w:bCs/>
          <w:i/>
          <w:sz w:val="24"/>
          <w:szCs w:val="24"/>
        </w:rPr>
        <w:lastRenderedPageBreak/>
        <w:t>4.1.5.13.</w:t>
      </w:r>
      <w:r>
        <w:rPr>
          <w:b/>
          <w:i/>
          <w:sz w:val="24"/>
          <w:szCs w:val="24"/>
        </w:rPr>
        <w:t> Муниципальная программа</w:t>
      </w:r>
    </w:p>
    <w:p>
      <w:pPr>
        <w:tabs>
          <w:tab w:val="left" w:pos="1701"/>
        </w:tabs>
        <w:spacing w:after="120"/>
        <w:ind w:right="57" w:firstLine="709"/>
        <w:jc w:val="center"/>
        <w:rPr>
          <w:b/>
          <w:bCs/>
          <w:i/>
          <w:sz w:val="24"/>
          <w:szCs w:val="24"/>
        </w:rPr>
      </w:pPr>
      <w:r>
        <w:rPr>
          <w:b/>
          <w:bCs/>
          <w:i/>
          <w:sz w:val="24"/>
          <w:szCs w:val="24"/>
        </w:rPr>
        <w:t>«Эффективное управление муниципальными финансами ЗАТО Северск»</w:t>
      </w:r>
    </w:p>
    <w:p>
      <w:pPr>
        <w:ind w:right="55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Программа исполнена ответственным исполнителем Финансовым управлением Администрации ЗАТО Северск в сумме 37 334,44 тыс.руб.</w:t>
      </w:r>
    </w:p>
    <w:p>
      <w:pPr>
        <w:ind w:right="55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Бюджетные ассигнования направлены на:</w:t>
      </w:r>
    </w:p>
    <w:p>
      <w:pPr>
        <w:ind w:right="55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 сопровождение и модернизацию программного обеспечения, используемого в процессе планирования и исполнения бюджета ЗАТО Северск, в сумме 985,99 тыс.руб.;</w:t>
      </w:r>
    </w:p>
    <w:p>
      <w:pPr>
        <w:ind w:right="55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 обслуживание муниципального долга в сумме 10 442,82 тыс.руб.;</w:t>
      </w:r>
    </w:p>
    <w:p>
      <w:pPr>
        <w:ind w:right="55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 обеспечение деятельности ответственного исполнителя программы в сумме 25 905,63 тыс.руб.</w:t>
      </w:r>
    </w:p>
    <w:p>
      <w:pPr>
        <w:ind w:right="55" w:firstLine="708"/>
        <w:jc w:val="both"/>
        <w:rPr>
          <w:b/>
          <w:bCs/>
          <w:color w:val="FF0000"/>
          <w:sz w:val="24"/>
          <w:szCs w:val="24"/>
        </w:rPr>
      </w:pPr>
    </w:p>
    <w:p>
      <w:pPr>
        <w:ind w:right="55"/>
        <w:jc w:val="center"/>
        <w:rPr>
          <w:b/>
          <w:bCs/>
          <w:i/>
          <w:sz w:val="24"/>
          <w:szCs w:val="24"/>
        </w:rPr>
      </w:pPr>
      <w:r>
        <w:rPr>
          <w:b/>
          <w:bCs/>
          <w:i/>
          <w:sz w:val="24"/>
          <w:szCs w:val="24"/>
        </w:rPr>
        <w:t>4.1.5.14. Муниципальная программа</w:t>
      </w:r>
    </w:p>
    <w:p>
      <w:pPr>
        <w:spacing w:after="120"/>
        <w:ind w:right="57"/>
        <w:jc w:val="center"/>
        <w:rPr>
          <w:b/>
          <w:bCs/>
          <w:i/>
          <w:sz w:val="24"/>
          <w:szCs w:val="24"/>
        </w:rPr>
      </w:pPr>
      <w:r>
        <w:rPr>
          <w:b/>
          <w:bCs/>
          <w:i/>
          <w:sz w:val="24"/>
          <w:szCs w:val="24"/>
        </w:rPr>
        <w:t>«Эффективное управление муниципальным имуществом ЗАТО Северск»</w:t>
      </w:r>
    </w:p>
    <w:p>
      <w:pPr>
        <w:ind w:right="55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Программа исполнена в общей сумме 80 362,42 тыс.руб., в том числе ответственным исполнителем УИО в сумме 75 503,55 тыс.руб., а также участником программы УКС в сумме 4 858,88 тыс.руб.</w:t>
      </w:r>
    </w:p>
    <w:p>
      <w:pPr>
        <w:ind w:right="55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Бюджетные ассигнования направлены на:</w:t>
      </w:r>
    </w:p>
    <w:p>
      <w:pPr>
        <w:ind w:right="55" w:firstLine="708"/>
        <w:jc w:val="both"/>
        <w:rPr>
          <w:sz w:val="24"/>
          <w:szCs w:val="24"/>
        </w:rPr>
      </w:pPr>
      <w:r>
        <w:rPr>
          <w:sz w:val="24"/>
          <w:szCs w:val="24"/>
        </w:rPr>
        <w:t>- содержание, обслуживание и уплату взносов на капитальный ремонт по помещениям, расположенным в многоквартирных домах в сумме 1 105,64 тыс.руб.;</w:t>
      </w:r>
    </w:p>
    <w:p>
      <w:pPr>
        <w:ind w:right="55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содержание МКУ «Лесничество ЗАТО Северск» в сумме 10 950,65 тыс.руб., </w:t>
      </w:r>
      <w:r>
        <w:rPr>
          <w:bCs/>
          <w:sz w:val="24"/>
          <w:szCs w:val="24"/>
        </w:rPr>
        <w:t xml:space="preserve">организацию лесохозяйственных мероприятий (площадь лесных участков, на которых проведены лесохозяйственные работы, составила 198,73 га, из них лесопатологическое обследование – 104,6 га; высажено 150 саженцев кедра на территории города) в сумме </w:t>
      </w:r>
      <w:r>
        <w:rPr>
          <w:bCs/>
          <w:sz w:val="24"/>
          <w:szCs w:val="24"/>
        </w:rPr>
        <w:br/>
        <w:t>1 439,18 тыс.руб.</w:t>
      </w:r>
      <w:r>
        <w:rPr>
          <w:sz w:val="24"/>
          <w:szCs w:val="24"/>
        </w:rPr>
        <w:t>;</w:t>
      </w:r>
    </w:p>
    <w:p>
      <w:pPr>
        <w:ind w:right="55" w:firstLine="708"/>
        <w:jc w:val="both"/>
        <w:rPr>
          <w:sz w:val="24"/>
          <w:szCs w:val="24"/>
        </w:rPr>
      </w:pPr>
      <w:r>
        <w:rPr>
          <w:bCs/>
          <w:sz w:val="24"/>
          <w:szCs w:val="24"/>
        </w:rPr>
        <w:t>- уплату налога на добавленную стоимость (НДС) в федеральный бюджет при продаже, согласно прогнозному плану (программе) приватизации, муниципального имущества ЗАТО Северск физическим лицам в сумме 352,15 тыс.руб. (совершено 7 сделок купли-продажи с физическими лицами, доходы от приватизации по этим сделкам составили 2 113,0 тыс.руб.</w:t>
      </w:r>
      <w:r>
        <w:rPr>
          <w:sz w:val="24"/>
          <w:szCs w:val="24"/>
        </w:rPr>
        <w:t>);</w:t>
      </w:r>
    </w:p>
    <w:p>
      <w:pPr>
        <w:ind w:right="55" w:firstLine="708"/>
        <w:jc w:val="both"/>
        <w:rPr>
          <w:sz w:val="24"/>
          <w:szCs w:val="24"/>
        </w:rPr>
      </w:pPr>
      <w:r>
        <w:rPr>
          <w:sz w:val="24"/>
          <w:szCs w:val="24"/>
        </w:rPr>
        <w:t>- строительство корпоративной оптической сети передачи данных между городскими организациями и Администрацией ЗАТО Северск в объеме 2 720,77 тыс.руб.;</w:t>
      </w:r>
    </w:p>
    <w:p>
      <w:pPr>
        <w:ind w:right="55" w:firstLine="708"/>
        <w:jc w:val="both"/>
        <w:rPr>
          <w:bCs/>
          <w:sz w:val="24"/>
          <w:szCs w:val="24"/>
        </w:rPr>
      </w:pPr>
      <w:r>
        <w:rPr>
          <w:sz w:val="24"/>
          <w:szCs w:val="24"/>
        </w:rPr>
        <w:t>- реконструкцию нежилого помещения на первом этаже с устройством отдельного входа по адресу: пос.Орловка, ул.Мира, д.25 (ПИР) в объеме 1 810,11 тыс.руб.</w:t>
      </w:r>
    </w:p>
    <w:p>
      <w:pPr>
        <w:pStyle w:val="ConsPlusNormal"/>
        <w:ind w:firstLine="709"/>
        <w:jc w:val="both"/>
      </w:pPr>
      <w:r>
        <w:rPr>
          <w:bCs/>
        </w:rPr>
        <w:t>- </w:t>
      </w:r>
      <w:r>
        <w:t>капитальный ремонт систем отопления, горячего и холодного водоснабжения пр.Коммунистический, 51 в объеме 328,00 тыс.руб.;</w:t>
      </w:r>
    </w:p>
    <w:p>
      <w:pPr>
        <w:ind w:right="55" w:firstLine="708"/>
        <w:jc w:val="both"/>
      </w:pPr>
      <w:r>
        <w:rPr>
          <w:sz w:val="24"/>
          <w:szCs w:val="24"/>
        </w:rPr>
        <w:t>- поставлено на государственный учет и проведена государственная регистрация права собственности (183 объекта), проведена оценка рыночной стоимости имущества ЗАТО Северск (70 объектов) на общую сумму 1 580,22 тыс.руб.;</w:t>
      </w:r>
      <w:r>
        <w:t xml:space="preserve"> </w:t>
      </w:r>
    </w:p>
    <w:p>
      <w:pPr>
        <w:ind w:right="55" w:firstLine="708"/>
        <w:jc w:val="both"/>
        <w:rPr>
          <w:sz w:val="24"/>
          <w:szCs w:val="24"/>
        </w:rPr>
      </w:pPr>
      <w:r>
        <w:rPr>
          <w:sz w:val="24"/>
          <w:szCs w:val="24"/>
        </w:rPr>
        <w:t>- выполнение кадастровых работ по межеванию 16 земельных участков,  находящихся в муниципальной собственности на общую сумму 64,71 тыс. руб.</w:t>
      </w:r>
    </w:p>
    <w:p>
      <w:pPr>
        <w:ind w:right="55" w:firstLine="708"/>
        <w:jc w:val="both"/>
        <w:rPr>
          <w:sz w:val="24"/>
          <w:szCs w:val="24"/>
        </w:rPr>
      </w:pPr>
      <w:r>
        <w:rPr>
          <w:sz w:val="24"/>
          <w:szCs w:val="24"/>
        </w:rPr>
        <w:t>- </w:t>
      </w:r>
      <w:r>
        <w:rPr>
          <w:bCs/>
          <w:sz w:val="24"/>
          <w:szCs w:val="24"/>
        </w:rPr>
        <w:t>обеспечение деятельности ответственного исполнителя программы в объеме 45 743,78</w:t>
      </w:r>
      <w:r>
        <w:rPr>
          <w:sz w:val="24"/>
          <w:szCs w:val="24"/>
        </w:rPr>
        <w:t xml:space="preserve"> тыс.руб.</w:t>
      </w:r>
    </w:p>
    <w:p>
      <w:pPr>
        <w:ind w:right="57" w:firstLine="709"/>
        <w:jc w:val="center"/>
        <w:rPr>
          <w:bCs/>
          <w:sz w:val="24"/>
          <w:szCs w:val="24"/>
          <w:highlight w:val="yellow"/>
        </w:rPr>
      </w:pPr>
    </w:p>
    <w:p>
      <w:pPr>
        <w:ind w:right="55"/>
        <w:jc w:val="center"/>
        <w:rPr>
          <w:b/>
          <w:bCs/>
          <w:i/>
          <w:sz w:val="24"/>
          <w:szCs w:val="24"/>
        </w:rPr>
      </w:pPr>
      <w:r>
        <w:rPr>
          <w:b/>
          <w:bCs/>
          <w:i/>
          <w:sz w:val="24"/>
          <w:szCs w:val="24"/>
        </w:rPr>
        <w:t>4.1.5.15. Муниципальная программа</w:t>
      </w:r>
    </w:p>
    <w:p>
      <w:pPr>
        <w:spacing w:after="120"/>
        <w:ind w:right="57" w:firstLine="709"/>
        <w:jc w:val="center"/>
        <w:rPr>
          <w:b/>
          <w:bCs/>
          <w:i/>
          <w:sz w:val="24"/>
          <w:szCs w:val="24"/>
        </w:rPr>
      </w:pPr>
      <w:r>
        <w:rPr>
          <w:b/>
          <w:bCs/>
          <w:i/>
          <w:sz w:val="24"/>
          <w:szCs w:val="24"/>
        </w:rPr>
        <w:t>«Профилактика алкоголизма, наркомании, токсикомании и ВИЧ-инфекции»</w:t>
      </w:r>
    </w:p>
    <w:p>
      <w:pPr>
        <w:ind w:right="55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Программа исполнена УО в сумме 1 409,23 тыс.руб. Ответственный исполнитель Администрация ЗАТО Северск.</w:t>
      </w:r>
    </w:p>
    <w:p>
      <w:pPr>
        <w:ind w:right="55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Бюджетные ассигнования направлены на:</w:t>
      </w:r>
    </w:p>
    <w:p>
      <w:pPr>
        <w:ind w:right="55" w:firstLine="708"/>
        <w:jc w:val="both"/>
        <w:rPr>
          <w:sz w:val="24"/>
          <w:szCs w:val="24"/>
        </w:rPr>
      </w:pPr>
      <w:r>
        <w:rPr>
          <w:bCs/>
          <w:sz w:val="24"/>
          <w:szCs w:val="24"/>
        </w:rPr>
        <w:t>- с</w:t>
      </w:r>
      <w:r>
        <w:rPr>
          <w:sz w:val="24"/>
          <w:szCs w:val="24"/>
        </w:rPr>
        <w:t>овершенствование форм и методов профилактики злоупотребления спиртными напитками и психоактивными веществами в сумме 1 209,19 тыс.руб.</w:t>
      </w:r>
      <w:r>
        <w:t xml:space="preserve"> (</w:t>
      </w:r>
      <w:r>
        <w:rPr>
          <w:sz w:val="24"/>
          <w:szCs w:val="24"/>
        </w:rPr>
        <w:t>количество обучающихся, родителей обучающихся и волонтеров, привлеченных к профилактическим мероприятиям составило 15 843 чел.);</w:t>
      </w:r>
    </w:p>
    <w:p>
      <w:pPr>
        <w:ind w:right="55" w:firstLine="708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- информационное обеспечение в профилактике злоупотребления спиртными напитками, психотропными веществами и распространения ВИЧ-инфекции в сумме 200,04 тыс.руб. (публикация в средствах массовой информации статей и рубрик, размещение роликов антинаркотической направленности составила 500 ед.)</w:t>
      </w:r>
    </w:p>
    <w:p>
      <w:pPr>
        <w:ind w:right="55" w:firstLine="708"/>
        <w:jc w:val="center"/>
        <w:rPr>
          <w:bCs/>
          <w:color w:val="FF0000"/>
          <w:sz w:val="24"/>
          <w:szCs w:val="24"/>
        </w:rPr>
      </w:pPr>
    </w:p>
    <w:p>
      <w:pPr>
        <w:ind w:right="55"/>
        <w:jc w:val="center"/>
        <w:rPr>
          <w:b/>
          <w:bCs/>
          <w:i/>
          <w:sz w:val="24"/>
          <w:szCs w:val="24"/>
        </w:rPr>
      </w:pPr>
      <w:r>
        <w:rPr>
          <w:b/>
          <w:bCs/>
          <w:i/>
          <w:sz w:val="24"/>
          <w:szCs w:val="24"/>
        </w:rPr>
        <w:t>4.1.5.16. Муниципальная программа</w:t>
      </w:r>
    </w:p>
    <w:p>
      <w:pPr>
        <w:spacing w:after="120"/>
        <w:ind w:right="57"/>
        <w:jc w:val="center"/>
        <w:rPr>
          <w:b/>
          <w:bCs/>
          <w:i/>
          <w:sz w:val="24"/>
          <w:szCs w:val="24"/>
        </w:rPr>
      </w:pPr>
      <w:r>
        <w:rPr>
          <w:b/>
          <w:bCs/>
          <w:i/>
          <w:sz w:val="24"/>
          <w:szCs w:val="24"/>
        </w:rPr>
        <w:t>«Формирование современной городской среды ЗАТО Северск»</w:t>
      </w:r>
    </w:p>
    <w:p>
      <w:pPr>
        <w:ind w:right="55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Программа исполнена в сумме 70 374,37 тыс.руб. Бюджетные ассигнования направлены на:</w:t>
      </w:r>
    </w:p>
    <w:p>
      <w:pPr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>- благоустройство общественных пространств в сумме 52 788,45 тыс.руб.</w:t>
      </w:r>
      <w:r>
        <w:rPr>
          <w:sz w:val="24"/>
          <w:szCs w:val="24"/>
        </w:rPr>
        <w:t xml:space="preserve"> (выполнены ремонт асфальтобетонного покрытия дорожек с установкой скамеек и урн в Северском Природном парке, устройство велодорожек и подпорной стенки на территории Северского Природного парка, благоустройство территории зоопарка,  ремонт спусков и устройство пандуса для мало-мобильных групп населения у здания ГДК им. Н.Островского, устройство детской игровой площадки многопрофильного спортивного комплекса «Олимпия», благоустройство комплексной площадки с установкой  тренажеров по ул. Калинина 123, благоустройство сквера перед зданием ДК Самусь, ремонт пешеходного тротуара с установкой скамеек и урн вдоль прибрежного парка по ул. Ленина);</w:t>
      </w:r>
    </w:p>
    <w:p>
      <w:pPr>
        <w:ind w:firstLine="709"/>
        <w:jc w:val="both"/>
        <w:rPr>
          <w:bCs/>
          <w:sz w:val="24"/>
          <w:szCs w:val="24"/>
        </w:rPr>
      </w:pPr>
      <w:r>
        <w:rPr>
          <w:i/>
          <w:sz w:val="28"/>
          <w:szCs w:val="28"/>
        </w:rPr>
        <w:t xml:space="preserve"> - </w:t>
      </w:r>
      <w:r>
        <w:rPr>
          <w:sz w:val="24"/>
          <w:szCs w:val="24"/>
        </w:rPr>
        <w:t xml:space="preserve">строительство фонтана в районе многопрофильного спортивного комплекса по ул.Калинина </w:t>
      </w:r>
      <w:r>
        <w:rPr>
          <w:bCs/>
          <w:sz w:val="24"/>
          <w:szCs w:val="24"/>
        </w:rPr>
        <w:t>в сумме 12 334,25 тыс.руб.;</w:t>
      </w:r>
    </w:p>
    <w:p>
      <w:pPr>
        <w:pStyle w:val="af8"/>
        <w:tabs>
          <w:tab w:val="left" w:pos="993"/>
        </w:tabs>
        <w:ind w:left="0"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- строительство сквера с комплексной спортивной площадкой, фонтаном и местами отдыха в микрорайоне №10 </w:t>
      </w:r>
      <w:r>
        <w:rPr>
          <w:bCs/>
          <w:sz w:val="24"/>
          <w:szCs w:val="24"/>
        </w:rPr>
        <w:t>в сумме 5 251,67 тыс.руб.</w:t>
      </w:r>
    </w:p>
    <w:p>
      <w:pPr>
        <w:tabs>
          <w:tab w:val="left" w:pos="993"/>
        </w:tabs>
        <w:jc w:val="both"/>
        <w:rPr>
          <w:bCs/>
          <w:sz w:val="24"/>
          <w:szCs w:val="24"/>
        </w:rPr>
      </w:pPr>
    </w:p>
    <w:p>
      <w:pPr>
        <w:ind w:right="55"/>
        <w:jc w:val="center"/>
        <w:rPr>
          <w:b/>
          <w:bCs/>
          <w:i/>
          <w:sz w:val="24"/>
          <w:szCs w:val="24"/>
        </w:rPr>
      </w:pPr>
      <w:r>
        <w:rPr>
          <w:b/>
          <w:bCs/>
          <w:i/>
          <w:sz w:val="24"/>
          <w:szCs w:val="24"/>
        </w:rPr>
        <w:t xml:space="preserve">4.1.5.17. Муниципальная программа </w:t>
      </w:r>
    </w:p>
    <w:p>
      <w:pPr>
        <w:ind w:right="55"/>
        <w:jc w:val="center"/>
        <w:rPr>
          <w:b/>
          <w:bCs/>
          <w:i/>
          <w:sz w:val="24"/>
          <w:szCs w:val="24"/>
        </w:rPr>
      </w:pPr>
      <w:r>
        <w:rPr>
          <w:b/>
          <w:bCs/>
          <w:i/>
          <w:sz w:val="24"/>
          <w:szCs w:val="24"/>
        </w:rPr>
        <w:t>«Развитие информационного общества ЗАТО Северск»</w:t>
      </w:r>
    </w:p>
    <w:p>
      <w:pPr>
        <w:ind w:right="55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Программа исполнена ответственным исполнителем Администрацией ЗАТО Северск в сумме 5 089,09 тыс.руб. </w:t>
      </w:r>
    </w:p>
    <w:p>
      <w:pPr>
        <w:ind w:right="55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Бюджетные ассигнования направлены на:</w:t>
      </w:r>
    </w:p>
    <w:p>
      <w:pPr>
        <w:ind w:right="55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 приобретение сервера для создания в ЗАТО Северск информационно-телекоммуникационной инфраструктуры высокоскоростной передачи, обработки и хранения данных преимущественно на основе отечественных разработок в сумме 487,25 тыс.руб. (1 шт.);</w:t>
      </w:r>
    </w:p>
    <w:p>
      <w:pPr>
        <w:ind w:right="55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 обеспечение информационной безопасности на основе отечественных разработок при передаче, обработке и хранении данных, гарантирующей защиту персональных данных и конфиденциальной информации, используемых в муниципальной информационной системе ЗАТО Северск в сумме 1 021,07 тыс.руб.;</w:t>
      </w:r>
    </w:p>
    <w:p>
      <w:pPr>
        <w:ind w:right="55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 внедрение цифровых технологий и платформенных решений в сферы муниципального управления и оказания муниципальных услуг, предоставляемых населению и субъектам малого и среднего предпринимательства в сумме 2 299,33 тыс.руб.;</w:t>
      </w:r>
    </w:p>
    <w:p>
      <w:pPr>
        <w:ind w:right="55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 преобразование информационно-коммуникационной среды социально-экономической сферы ЗАТО Северск посредством внедрения цифровых технологий и платформенных решений в сумме 1 281,44 тыс.руб.</w:t>
      </w:r>
    </w:p>
    <w:p>
      <w:pPr>
        <w:ind w:right="55" w:firstLine="708"/>
        <w:jc w:val="both"/>
        <w:rPr>
          <w:bCs/>
          <w:color w:val="FF0000"/>
          <w:sz w:val="24"/>
          <w:szCs w:val="24"/>
          <w:highlight w:val="yellow"/>
        </w:rPr>
      </w:pPr>
    </w:p>
    <w:p>
      <w:pPr>
        <w:ind w:right="55"/>
        <w:jc w:val="center"/>
        <w:rPr>
          <w:b/>
          <w:bCs/>
          <w:i/>
          <w:sz w:val="24"/>
          <w:szCs w:val="24"/>
        </w:rPr>
      </w:pPr>
      <w:r>
        <w:rPr>
          <w:b/>
          <w:bCs/>
          <w:i/>
          <w:sz w:val="24"/>
          <w:szCs w:val="24"/>
        </w:rPr>
        <w:t>4.1.5.18. Программа «Комплексное развитие систем</w:t>
      </w:r>
    </w:p>
    <w:p>
      <w:pPr>
        <w:spacing w:after="120"/>
        <w:ind w:right="57"/>
        <w:jc w:val="center"/>
        <w:rPr>
          <w:b/>
          <w:bCs/>
          <w:i/>
          <w:sz w:val="24"/>
          <w:szCs w:val="24"/>
        </w:rPr>
      </w:pPr>
      <w:r>
        <w:rPr>
          <w:b/>
          <w:bCs/>
          <w:i/>
          <w:sz w:val="24"/>
          <w:szCs w:val="24"/>
        </w:rPr>
        <w:t xml:space="preserve"> коммунальной и инженерной </w:t>
      </w:r>
      <w:proofErr w:type="gramStart"/>
      <w:r>
        <w:rPr>
          <w:b/>
          <w:bCs/>
          <w:i/>
          <w:sz w:val="24"/>
          <w:szCs w:val="24"/>
        </w:rPr>
        <w:t>инфраструктуры</w:t>
      </w:r>
      <w:proofErr w:type="gramEnd"/>
      <w:r>
        <w:rPr>
          <w:b/>
          <w:bCs/>
          <w:i/>
          <w:sz w:val="24"/>
          <w:szCs w:val="24"/>
        </w:rPr>
        <w:t xml:space="preserve"> ЗАТО Северск»</w:t>
      </w:r>
    </w:p>
    <w:p>
      <w:pPr>
        <w:ind w:right="55" w:firstLine="708"/>
        <w:jc w:val="both"/>
        <w:rPr>
          <w:bCs/>
          <w:sz w:val="24"/>
          <w:szCs w:val="24"/>
          <w:highlight w:val="yellow"/>
        </w:rPr>
      </w:pPr>
      <w:r>
        <w:rPr>
          <w:bCs/>
          <w:sz w:val="24"/>
          <w:szCs w:val="24"/>
        </w:rPr>
        <w:t>Программа исполнена в общей сумме 63 372,9 тыс.руб. ответственными исполнителями УЖКХ ТиС в сумме 1 759,69 тыс.руб. и УКС в сумме 61 613,21 тыс.руб.</w:t>
      </w:r>
    </w:p>
    <w:p>
      <w:pPr>
        <w:ind w:right="55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Бюджетные ассигнования направлены на:</w:t>
      </w:r>
    </w:p>
    <w:p>
      <w:pPr>
        <w:ind w:right="55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 строительство полигона ТБО в п.Самусь – 59 852,34 тыс.руб.;</w:t>
      </w:r>
    </w:p>
    <w:p>
      <w:pPr>
        <w:ind w:right="55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 приобретение весового оборудования для полигона ТБО в пос. Самусь –                     1 000, 0 тыс.руб.;</w:t>
      </w:r>
    </w:p>
    <w:p>
      <w:pPr>
        <w:ind w:right="55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 xml:space="preserve">- установку дополнительной колонки для питьевой воды в районе ул. Речная в                   д. </w:t>
      </w:r>
      <w:proofErr w:type="spellStart"/>
      <w:r>
        <w:rPr>
          <w:bCs/>
          <w:sz w:val="24"/>
          <w:szCs w:val="24"/>
        </w:rPr>
        <w:t>Кижирово</w:t>
      </w:r>
      <w:proofErr w:type="spellEnd"/>
      <w:r>
        <w:rPr>
          <w:bCs/>
          <w:sz w:val="24"/>
          <w:szCs w:val="24"/>
        </w:rPr>
        <w:t xml:space="preserve"> - 21,00 тыс.руб.;</w:t>
      </w:r>
    </w:p>
    <w:p>
      <w:pPr>
        <w:ind w:right="55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 строительство линии наружного освещения вдоль тротуара между жилым домом № 19 по ул.Строителей и МБДОУ "Детский сад №17" – 99,96 тыс.руб.;</w:t>
      </w:r>
    </w:p>
    <w:p>
      <w:pPr>
        <w:ind w:right="55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 реконструкция сетей хозяйственно-противопожарного водопровода в </w:t>
      </w:r>
      <w:r>
        <w:rPr>
          <w:bCs/>
          <w:sz w:val="24"/>
          <w:szCs w:val="24"/>
        </w:rPr>
        <w:br/>
        <w:t>пос. Самусь - 465,85 тыс.руб.;</w:t>
      </w:r>
    </w:p>
    <w:p>
      <w:pPr>
        <w:ind w:right="55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 капитальный ремонт системы бесперебойного электроснабжения и пускорегулирующего устройства сетевого насоса центральной отопительной котельной в пос. Самусь, ул. Набережная, 7- 1 690,82 тыс.руб.</w:t>
      </w:r>
    </w:p>
    <w:p>
      <w:pPr>
        <w:ind w:right="55" w:firstLine="708"/>
        <w:rPr>
          <w:bCs/>
          <w:sz w:val="24"/>
          <w:szCs w:val="24"/>
          <w:highlight w:val="yellow"/>
        </w:rPr>
      </w:pPr>
    </w:p>
    <w:p>
      <w:pPr>
        <w:spacing w:after="120"/>
        <w:ind w:right="57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4.1.6. Информация об исполнении непрограммных направлений расходования</w:t>
      </w:r>
    </w:p>
    <w:p>
      <w:pPr>
        <w:ind w:right="55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В бюджете ЗАТО Северск на непрограммные мероприятия были предусмотрены средства в сумме 299 503,51 тыс.руб., исполнение за 2019 год составило 295 553,43 тыс.руб. или 98,7% к плану года, из них: </w:t>
      </w:r>
    </w:p>
    <w:p>
      <w:pPr>
        <w:ind w:right="55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 по Администрации ЗАТО Северск 201 116,78 тыс.руб. или 68,0% от общей суммы непрограммных расходов; </w:t>
      </w:r>
    </w:p>
    <w:p>
      <w:pPr>
        <w:ind w:right="55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 по Думе ЗАТО Северск – 55 584,66 тыс.руб. или 18,8%; </w:t>
      </w:r>
    </w:p>
    <w:p>
      <w:pPr>
        <w:ind w:right="55" w:firstLine="708"/>
        <w:jc w:val="both"/>
        <w:rPr>
          <w:sz w:val="24"/>
          <w:szCs w:val="24"/>
        </w:rPr>
      </w:pPr>
      <w:r>
        <w:rPr>
          <w:sz w:val="24"/>
          <w:szCs w:val="24"/>
        </w:rPr>
        <w:t>- по Счетной палате ЗАТО Северск – 16 335,92 тыс.руб. или 5,5%;</w:t>
      </w:r>
    </w:p>
    <w:p>
      <w:pPr>
        <w:ind w:right="55" w:firstLine="708"/>
        <w:jc w:val="both"/>
        <w:rPr>
          <w:sz w:val="24"/>
          <w:szCs w:val="24"/>
        </w:rPr>
      </w:pPr>
      <w:r>
        <w:rPr>
          <w:sz w:val="24"/>
          <w:szCs w:val="24"/>
        </w:rPr>
        <w:t>- по УЖКХ ТиС – 13 782,37 тыс.руб. или 4,7%.</w:t>
      </w:r>
    </w:p>
    <w:p>
      <w:pPr>
        <w:pStyle w:val="31"/>
        <w:ind w:right="45"/>
        <w:jc w:val="center"/>
        <w:rPr>
          <w:b/>
          <w:color w:val="FF0000"/>
          <w:sz w:val="24"/>
          <w:szCs w:val="24"/>
          <w:highlight w:val="yellow"/>
        </w:rPr>
      </w:pPr>
    </w:p>
    <w:p>
      <w:pPr>
        <w:pStyle w:val="31"/>
        <w:ind w:right="45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4.2. Исполнение расходной части бюджета ЗАТО Северск </w:t>
      </w:r>
    </w:p>
    <w:p>
      <w:pPr>
        <w:pStyle w:val="31"/>
        <w:ind w:right="45"/>
        <w:jc w:val="center"/>
        <w:rPr>
          <w:b/>
          <w:color w:val="FF0000"/>
          <w:sz w:val="24"/>
          <w:szCs w:val="24"/>
        </w:rPr>
      </w:pPr>
      <w:r>
        <w:rPr>
          <w:b/>
          <w:sz w:val="24"/>
          <w:szCs w:val="24"/>
        </w:rPr>
        <w:t>в разрезе ведомственной структуры расходов за 2019 год</w:t>
      </w:r>
    </w:p>
    <w:p>
      <w:pPr>
        <w:pStyle w:val="31"/>
        <w:tabs>
          <w:tab w:val="clear" w:pos="5529"/>
          <w:tab w:val="left" w:pos="709"/>
        </w:tabs>
        <w:ind w:right="0" w:firstLine="709"/>
        <w:rPr>
          <w:color w:val="000000"/>
          <w:sz w:val="24"/>
          <w:szCs w:val="24"/>
        </w:rPr>
      </w:pPr>
    </w:p>
    <w:p>
      <w:pPr>
        <w:pStyle w:val="31"/>
        <w:tabs>
          <w:tab w:val="clear" w:pos="5529"/>
          <w:tab w:val="left" w:pos="709"/>
        </w:tabs>
        <w:ind w:right="0" w:firstLine="709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В 2019 году согласно Решению </w:t>
      </w:r>
      <w:proofErr w:type="gramStart"/>
      <w:r>
        <w:rPr>
          <w:color w:val="000000"/>
          <w:sz w:val="24"/>
          <w:szCs w:val="24"/>
        </w:rPr>
        <w:t>Думы</w:t>
      </w:r>
      <w:proofErr w:type="gramEnd"/>
      <w:r>
        <w:rPr>
          <w:color w:val="000000"/>
          <w:sz w:val="24"/>
          <w:szCs w:val="24"/>
        </w:rPr>
        <w:t xml:space="preserve"> ЗАТО Северск от 55/12 от 26.09.2019 проведена реорганизация Управления молодежной и семейной политики, культуры и спорта Администрации ЗАТО Северск (раздел/подраздел 0709) в форме разделения с 24.12.2019г на Управление культуры Администрации ЗАТО Северск (раздел/подраздел 0804)  и Управление молодежной и семейной политики, физической культуры и спорта Администрации ЗАТО Северск (раздел/подраздел 0709). </w:t>
      </w:r>
    </w:p>
    <w:p>
      <w:pPr>
        <w:pStyle w:val="31"/>
        <w:tabs>
          <w:tab w:val="clear" w:pos="5529"/>
          <w:tab w:val="left" w:pos="709"/>
        </w:tabs>
        <w:ind w:right="0" w:firstLine="709"/>
        <w:rPr>
          <w:spacing w:val="-4"/>
          <w:sz w:val="24"/>
          <w:szCs w:val="24"/>
        </w:rPr>
      </w:pPr>
      <w:r>
        <w:rPr>
          <w:color w:val="000000"/>
          <w:sz w:val="24"/>
          <w:szCs w:val="24"/>
        </w:rPr>
        <w:t>Таким образом, расходы по ведомственной структуре представлены по 13 ГРБС:</w:t>
      </w:r>
    </w:p>
    <w:p>
      <w:pPr>
        <w:ind w:firstLine="709"/>
        <w:jc w:val="both"/>
        <w:rPr>
          <w:sz w:val="24"/>
          <w:szCs w:val="24"/>
        </w:rPr>
      </w:pPr>
    </w:p>
    <w:p>
      <w:pPr>
        <w:pStyle w:val="3"/>
        <w:spacing w:before="0" w:after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4.2.1. Дума ЗАТО Северск</w:t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Кассовое исполнение по непрограммным направлениям расходов за 2019 год составило 55 584,66 тыс.руб. или 98,9% к утвержденным годовым назначениям. </w:t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 общей структуре расходов удельный вес расходов, подведомственных Думе ЗАТО Северск, составил 1,2 %, исполнение расходов осуществлялось по разделу 0100 «Общегосударственные расходы».</w:t>
      </w:r>
    </w:p>
    <w:p>
      <w:pPr>
        <w:pStyle w:val="31"/>
        <w:ind w:right="0" w:firstLine="709"/>
        <w:rPr>
          <w:sz w:val="24"/>
          <w:szCs w:val="24"/>
        </w:rPr>
      </w:pPr>
      <w:r>
        <w:rPr>
          <w:sz w:val="24"/>
          <w:szCs w:val="24"/>
        </w:rPr>
        <w:t>По подразделу «Другие общегосударственные вопросы» расходы исполнены             в сумме 7 271,76 тыс.руб., из них:</w:t>
      </w:r>
    </w:p>
    <w:p>
      <w:pPr>
        <w:pStyle w:val="31"/>
        <w:ind w:right="0" w:firstLine="709"/>
        <w:rPr>
          <w:sz w:val="24"/>
          <w:szCs w:val="24"/>
        </w:rPr>
      </w:pPr>
      <w:r>
        <w:rPr>
          <w:sz w:val="24"/>
          <w:szCs w:val="24"/>
        </w:rPr>
        <w:t xml:space="preserve">- 4 927,93 тыс.руб. на информационные расходы Думы ЗАТО Северск; </w:t>
      </w:r>
    </w:p>
    <w:p>
      <w:pPr>
        <w:pStyle w:val="31"/>
        <w:ind w:right="0" w:firstLine="709"/>
        <w:rPr>
          <w:sz w:val="24"/>
          <w:szCs w:val="24"/>
        </w:rPr>
      </w:pPr>
      <w:r>
        <w:rPr>
          <w:sz w:val="24"/>
          <w:szCs w:val="24"/>
        </w:rPr>
        <w:t>- 1 500,0 тыс.руб. на единовременные поощрительные выплаты ОМСУ ЗАТО Северск (награждено 275 человек);</w:t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- 843,83 тыс.руб. на оплату членских, целевых и других взносов в Ассоциацию сибирских и дальневосточных городов, Совет муниципальных образований Томской области, Ассоциацию новаторских городов.</w:t>
      </w:r>
    </w:p>
    <w:p>
      <w:pPr>
        <w:pStyle w:val="31"/>
        <w:ind w:right="0" w:firstLine="709"/>
        <w:outlineLvl w:val="2"/>
        <w:rPr>
          <w:b/>
          <w:sz w:val="24"/>
          <w:szCs w:val="24"/>
          <w:highlight w:val="yellow"/>
        </w:rPr>
      </w:pPr>
    </w:p>
    <w:p>
      <w:pPr>
        <w:pStyle w:val="31"/>
        <w:ind w:right="0"/>
        <w:jc w:val="center"/>
        <w:outlineLvl w:val="2"/>
        <w:rPr>
          <w:b/>
          <w:sz w:val="24"/>
          <w:szCs w:val="24"/>
        </w:rPr>
      </w:pPr>
      <w:r>
        <w:rPr>
          <w:b/>
          <w:sz w:val="24"/>
          <w:szCs w:val="24"/>
        </w:rPr>
        <w:t>4.2.2. Администрация ЗАТО Северск</w:t>
      </w:r>
    </w:p>
    <w:p>
      <w:pPr>
        <w:spacing w:before="12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Кассовое исполнение расходов за 2019 год составило 321 643,72 тыс.руб. или 97,4% к утвержденным годовым назначениям. </w:t>
      </w:r>
    </w:p>
    <w:p>
      <w:pPr>
        <w:pStyle w:val="31"/>
        <w:ind w:right="0" w:firstLine="709"/>
        <w:rPr>
          <w:sz w:val="24"/>
          <w:szCs w:val="24"/>
        </w:rPr>
      </w:pPr>
      <w:r>
        <w:rPr>
          <w:sz w:val="24"/>
          <w:szCs w:val="24"/>
        </w:rPr>
        <w:t xml:space="preserve">В общей структуре расходов удельный вес расходов, подведомственных Администрации, составил 7,0%. </w:t>
      </w:r>
    </w:p>
    <w:p>
      <w:pPr>
        <w:pStyle w:val="31"/>
        <w:ind w:right="0" w:firstLine="709"/>
        <w:rPr>
          <w:color w:val="000000"/>
          <w:sz w:val="24"/>
          <w:szCs w:val="24"/>
        </w:rPr>
      </w:pPr>
      <w:r>
        <w:rPr>
          <w:sz w:val="24"/>
          <w:szCs w:val="24"/>
        </w:rPr>
        <w:lastRenderedPageBreak/>
        <w:t>Исполнение расходов по программно-целевому принципу в рамках четырех муниципальных программ составило 120 526,94</w:t>
      </w:r>
      <w:r>
        <w:rPr>
          <w:color w:val="000000"/>
          <w:sz w:val="24"/>
          <w:szCs w:val="24"/>
        </w:rPr>
        <w:t> тыс.руб. (37,5% от общей суммы расходов Администрации ЗАТО Северск или 94,4% к утвержденным годовым расходам).</w:t>
      </w:r>
    </w:p>
    <w:p>
      <w:pPr>
        <w:spacing w:after="12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Администрация ЗАТО Северск является ответственным исполнителем четырех муниципальных программ «Социальная поддержка населения ЗАТО Северск», «Развитие предпринимательства в ЗАТО Северск», «Охрана окружающей среды на территории ЗАТО Северск», «Развитие информационного общества ЗАТО Северск»</w:t>
      </w:r>
      <w:r>
        <w:rPr>
          <w:bCs/>
          <w:sz w:val="24"/>
          <w:szCs w:val="24"/>
        </w:rPr>
        <w:t>.</w:t>
      </w:r>
      <w:r>
        <w:rPr>
          <w:sz w:val="24"/>
          <w:szCs w:val="24"/>
        </w:rPr>
        <w:t xml:space="preserve">   </w:t>
      </w:r>
    </w:p>
    <w:p>
      <w:pPr>
        <w:spacing w:after="60"/>
        <w:ind w:firstLine="709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Таблица 44. Расходы Администрации  в разрезе МП</w:t>
      </w:r>
    </w:p>
    <w:tbl>
      <w:tblPr>
        <w:tblW w:w="937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41"/>
        <w:gridCol w:w="4252"/>
        <w:gridCol w:w="1559"/>
        <w:gridCol w:w="1560"/>
        <w:gridCol w:w="1559"/>
      </w:tblGrid>
      <w:tr>
        <w:trPr>
          <w:trHeight w:val="928"/>
        </w:trPr>
        <w:tc>
          <w:tcPr>
            <w:tcW w:w="441" w:type="dxa"/>
            <w:shd w:val="clear" w:color="auto" w:fill="auto"/>
            <w:textDirection w:val="btLr"/>
            <w:vAlign w:val="center"/>
          </w:tcPr>
          <w:p>
            <w:pPr>
              <w:jc w:val="center"/>
            </w:pPr>
          </w:p>
          <w:p>
            <w:pPr>
              <w:jc w:val="center"/>
            </w:pPr>
            <w:r>
              <w:rPr>
                <w:lang w:val="en-US"/>
              </w:rPr>
              <w:t xml:space="preserve">№ </w:t>
            </w:r>
            <w:r>
              <w:t>п/п</w:t>
            </w:r>
          </w:p>
          <w:p>
            <w:pPr>
              <w:jc w:val="center"/>
            </w:pPr>
          </w:p>
        </w:tc>
        <w:tc>
          <w:tcPr>
            <w:tcW w:w="4252" w:type="dxa"/>
            <w:shd w:val="clear" w:color="auto" w:fill="auto"/>
            <w:vAlign w:val="center"/>
          </w:tcPr>
          <w:p>
            <w:pPr>
              <w:jc w:val="center"/>
            </w:pPr>
            <w:r>
              <w:t xml:space="preserve">Наименование программы </w:t>
            </w:r>
          </w:p>
        </w:tc>
        <w:tc>
          <w:tcPr>
            <w:tcW w:w="1559" w:type="dxa"/>
            <w:shd w:val="clear" w:color="auto" w:fill="auto"/>
            <w:vAlign w:val="center"/>
          </w:tcPr>
          <w:p>
            <w:pPr>
              <w:jc w:val="center"/>
            </w:pPr>
            <w:r>
              <w:t>Уточненный план 2019 г., тыс.руб.</w:t>
            </w:r>
          </w:p>
        </w:tc>
        <w:tc>
          <w:tcPr>
            <w:tcW w:w="1560" w:type="dxa"/>
            <w:shd w:val="clear" w:color="auto" w:fill="auto"/>
            <w:vAlign w:val="center"/>
          </w:tcPr>
          <w:p>
            <w:pPr>
              <w:ind w:right="-42"/>
              <w:jc w:val="center"/>
            </w:pPr>
            <w:r>
              <w:t xml:space="preserve">Исполнено </w:t>
            </w:r>
          </w:p>
          <w:p>
            <w:pPr>
              <w:ind w:right="-42"/>
              <w:jc w:val="center"/>
            </w:pPr>
            <w:r>
              <w:t>за 2019 г., тыс</w:t>
            </w:r>
            <w:proofErr w:type="gramStart"/>
            <w:r>
              <w:t>.р</w:t>
            </w:r>
            <w:proofErr w:type="gramEnd"/>
            <w:r>
              <w:t>уб.</w:t>
            </w:r>
          </w:p>
        </w:tc>
        <w:tc>
          <w:tcPr>
            <w:tcW w:w="1559" w:type="dxa"/>
            <w:shd w:val="clear" w:color="auto" w:fill="auto"/>
            <w:vAlign w:val="center"/>
          </w:tcPr>
          <w:p>
            <w:pPr>
              <w:jc w:val="center"/>
            </w:pPr>
            <w:r>
              <w:t xml:space="preserve">Процент исполнения </w:t>
            </w:r>
          </w:p>
          <w:p>
            <w:pPr>
              <w:jc w:val="center"/>
            </w:pPr>
            <w:r>
              <w:t>к плану</w:t>
            </w:r>
            <w:r>
              <w:br/>
              <w:t xml:space="preserve"> 2019 г.</w:t>
            </w:r>
          </w:p>
        </w:tc>
      </w:tr>
      <w:tr>
        <w:trPr>
          <w:trHeight w:val="255"/>
        </w:trPr>
        <w:tc>
          <w:tcPr>
            <w:tcW w:w="441" w:type="dxa"/>
            <w:shd w:val="clear" w:color="auto" w:fill="auto"/>
            <w:noWrap/>
            <w:vAlign w:val="center"/>
          </w:tcPr>
          <w:p>
            <w:pPr>
              <w:jc w:val="center"/>
            </w:pPr>
            <w:r>
              <w:t>1</w:t>
            </w:r>
          </w:p>
        </w:tc>
        <w:tc>
          <w:tcPr>
            <w:tcW w:w="4252" w:type="dxa"/>
            <w:shd w:val="clear" w:color="auto" w:fill="auto"/>
            <w:vAlign w:val="center"/>
          </w:tcPr>
          <w:p>
            <w:r>
              <w:t>МП «Развитие предпринимательства ЗАТО Северск»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>
            <w:pPr>
              <w:jc w:val="right"/>
            </w:pPr>
            <w:r>
              <w:t>23 868,79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>
            <w:pPr>
              <w:jc w:val="right"/>
            </w:pPr>
            <w:r>
              <w:t>23 868,77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>
            <w:pPr>
              <w:jc w:val="center"/>
            </w:pPr>
            <w:r>
              <w:t>100,0</w:t>
            </w:r>
          </w:p>
        </w:tc>
      </w:tr>
      <w:tr>
        <w:trPr>
          <w:trHeight w:val="199"/>
        </w:trPr>
        <w:tc>
          <w:tcPr>
            <w:tcW w:w="441" w:type="dxa"/>
            <w:shd w:val="clear" w:color="auto" w:fill="auto"/>
            <w:noWrap/>
            <w:vAlign w:val="center"/>
          </w:tcPr>
          <w:p>
            <w:pPr>
              <w:jc w:val="center"/>
            </w:pPr>
            <w:r>
              <w:t>2</w:t>
            </w:r>
          </w:p>
        </w:tc>
        <w:tc>
          <w:tcPr>
            <w:tcW w:w="4252" w:type="dxa"/>
            <w:shd w:val="clear" w:color="auto" w:fill="auto"/>
            <w:vAlign w:val="center"/>
          </w:tcPr>
          <w:p>
            <w:pPr>
              <w:ind w:right="-60"/>
            </w:pPr>
            <w:r>
              <w:t>МП «Социальная поддержка населения ЗАТО Северск»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>
            <w:pPr>
              <w:jc w:val="right"/>
            </w:pPr>
            <w:r>
              <w:t>97 744,30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>
            <w:pPr>
              <w:jc w:val="right"/>
            </w:pPr>
            <w:r>
              <w:t>91 344,85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>
            <w:pPr>
              <w:jc w:val="center"/>
            </w:pPr>
            <w:r>
              <w:t>93,5</w:t>
            </w:r>
          </w:p>
        </w:tc>
      </w:tr>
      <w:tr>
        <w:trPr>
          <w:trHeight w:val="255"/>
        </w:trPr>
        <w:tc>
          <w:tcPr>
            <w:tcW w:w="441" w:type="dxa"/>
            <w:shd w:val="clear" w:color="auto" w:fill="auto"/>
            <w:noWrap/>
            <w:vAlign w:val="center"/>
          </w:tcPr>
          <w:p>
            <w:pPr>
              <w:jc w:val="center"/>
            </w:pPr>
            <w:r>
              <w:t>3</w:t>
            </w:r>
          </w:p>
        </w:tc>
        <w:tc>
          <w:tcPr>
            <w:tcW w:w="4252" w:type="dxa"/>
            <w:shd w:val="clear" w:color="auto" w:fill="auto"/>
            <w:vAlign w:val="center"/>
          </w:tcPr>
          <w:p>
            <w:pPr>
              <w:ind w:right="-60"/>
            </w:pPr>
            <w:r>
              <w:t>МП «Охрана окружающей среды на территории ЗАТО Северск»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>
            <w:pPr>
              <w:jc w:val="right"/>
            </w:pPr>
            <w:r>
              <w:t>224,24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>
            <w:pPr>
              <w:jc w:val="right"/>
            </w:pPr>
            <w:r>
              <w:t>224,22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>
            <w:pPr>
              <w:jc w:val="center"/>
            </w:pPr>
            <w:r>
              <w:t>100,0</w:t>
            </w:r>
          </w:p>
        </w:tc>
      </w:tr>
      <w:tr>
        <w:trPr>
          <w:trHeight w:val="255"/>
        </w:trPr>
        <w:tc>
          <w:tcPr>
            <w:tcW w:w="441" w:type="dxa"/>
            <w:shd w:val="clear" w:color="auto" w:fill="auto"/>
            <w:noWrap/>
            <w:vAlign w:val="center"/>
          </w:tcPr>
          <w:p>
            <w:pPr>
              <w:jc w:val="center"/>
            </w:pPr>
            <w:r>
              <w:t>4</w:t>
            </w:r>
          </w:p>
        </w:tc>
        <w:tc>
          <w:tcPr>
            <w:tcW w:w="4252" w:type="dxa"/>
            <w:shd w:val="clear" w:color="auto" w:fill="auto"/>
            <w:vAlign w:val="center"/>
          </w:tcPr>
          <w:p>
            <w:r>
              <w:t>МП «Развитие информационного общества ЗАТО Северск»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>
            <w:pPr>
              <w:jc w:val="right"/>
            </w:pPr>
            <w:r>
              <w:t>5 784,96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>
            <w:pPr>
              <w:jc w:val="right"/>
            </w:pPr>
            <w:r>
              <w:t>5 089,10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>
            <w:pPr>
              <w:jc w:val="center"/>
            </w:pPr>
            <w:r>
              <w:t>88,0</w:t>
            </w:r>
          </w:p>
        </w:tc>
      </w:tr>
    </w:tbl>
    <w:p>
      <w:pPr>
        <w:pStyle w:val="31"/>
        <w:tabs>
          <w:tab w:val="clear" w:pos="5529"/>
        </w:tabs>
        <w:spacing w:before="120"/>
        <w:ind w:right="0" w:firstLine="709"/>
        <w:rPr>
          <w:spacing w:val="-4"/>
          <w:sz w:val="24"/>
          <w:szCs w:val="24"/>
        </w:rPr>
      </w:pPr>
      <w:r>
        <w:rPr>
          <w:sz w:val="24"/>
          <w:szCs w:val="24"/>
        </w:rPr>
        <w:t xml:space="preserve">За 2019 год </w:t>
      </w:r>
      <w:r>
        <w:rPr>
          <w:spacing w:val="-4"/>
          <w:sz w:val="24"/>
          <w:szCs w:val="24"/>
        </w:rPr>
        <w:t xml:space="preserve">непрограммные мероприятия Администрации ЗАТО Северск составили 201 116,78 тыс.руб., из них: 189 962,35 тыс.руб. за счет средств местного бюджета, </w:t>
      </w:r>
      <w:r>
        <w:rPr>
          <w:spacing w:val="-4"/>
          <w:sz w:val="24"/>
          <w:szCs w:val="24"/>
        </w:rPr>
        <w:br/>
        <w:t>9 521,11 тыс.руб. за счет средств областного бюджета, 1 633,32 тыс.руб.- за счет средств федерального бюджета.</w:t>
      </w:r>
    </w:p>
    <w:p>
      <w:pPr>
        <w:spacing w:before="120" w:after="60" w:line="264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Таблица 45. Расходы Администрации ЗАТО Северск по разделам за 2019 г. </w:t>
      </w:r>
    </w:p>
    <w:tbl>
      <w:tblPr>
        <w:tblW w:w="9371" w:type="dxa"/>
        <w:tblInd w:w="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10"/>
        <w:gridCol w:w="3983"/>
        <w:gridCol w:w="1559"/>
        <w:gridCol w:w="1560"/>
        <w:gridCol w:w="1559"/>
      </w:tblGrid>
      <w:tr>
        <w:trPr>
          <w:cantSplit/>
          <w:trHeight w:val="1134"/>
        </w:trPr>
        <w:tc>
          <w:tcPr>
            <w:tcW w:w="710" w:type="dxa"/>
            <w:shd w:val="clear" w:color="auto" w:fill="auto"/>
            <w:tcMar>
              <w:left w:w="28" w:type="dxa"/>
              <w:right w:w="28" w:type="dxa"/>
            </w:tcMar>
            <w:textDirection w:val="btLr"/>
            <w:vAlign w:val="center"/>
          </w:tcPr>
          <w:p>
            <w:pPr>
              <w:ind w:left="113" w:right="113"/>
              <w:jc w:val="center"/>
            </w:pPr>
            <w:r>
              <w:t>Раздел/</w:t>
            </w:r>
          </w:p>
          <w:p>
            <w:pPr>
              <w:ind w:left="113" w:right="113"/>
              <w:jc w:val="center"/>
            </w:pPr>
            <w:r>
              <w:t>подраздел</w:t>
            </w:r>
          </w:p>
        </w:tc>
        <w:tc>
          <w:tcPr>
            <w:tcW w:w="3983" w:type="dxa"/>
            <w:shd w:val="clear" w:color="auto" w:fill="auto"/>
            <w:vAlign w:val="center"/>
          </w:tcPr>
          <w:p>
            <w:pPr>
              <w:jc w:val="center"/>
            </w:pPr>
            <w:r>
              <w:t xml:space="preserve">Наименование программы </w:t>
            </w:r>
          </w:p>
        </w:tc>
        <w:tc>
          <w:tcPr>
            <w:tcW w:w="1559" w:type="dxa"/>
            <w:shd w:val="clear" w:color="auto" w:fill="auto"/>
            <w:vAlign w:val="center"/>
          </w:tcPr>
          <w:p>
            <w:pPr>
              <w:jc w:val="center"/>
            </w:pPr>
            <w:r>
              <w:t>Уточненный план 2019 г., тыс.руб.</w:t>
            </w:r>
          </w:p>
        </w:tc>
        <w:tc>
          <w:tcPr>
            <w:tcW w:w="1560" w:type="dxa"/>
            <w:shd w:val="clear" w:color="auto" w:fill="auto"/>
            <w:vAlign w:val="center"/>
          </w:tcPr>
          <w:p>
            <w:pPr>
              <w:ind w:right="-42"/>
              <w:jc w:val="center"/>
            </w:pPr>
            <w:r>
              <w:t xml:space="preserve">Исполнено </w:t>
            </w:r>
          </w:p>
          <w:p>
            <w:pPr>
              <w:ind w:right="-42"/>
              <w:jc w:val="center"/>
            </w:pPr>
            <w:r>
              <w:t>за 2019 г., тыс</w:t>
            </w:r>
            <w:proofErr w:type="gramStart"/>
            <w:r>
              <w:t>.р</w:t>
            </w:r>
            <w:proofErr w:type="gramEnd"/>
            <w:r>
              <w:t>уб.</w:t>
            </w:r>
          </w:p>
        </w:tc>
        <w:tc>
          <w:tcPr>
            <w:tcW w:w="1559" w:type="dxa"/>
            <w:shd w:val="clear" w:color="auto" w:fill="auto"/>
            <w:vAlign w:val="center"/>
          </w:tcPr>
          <w:p>
            <w:pPr>
              <w:jc w:val="center"/>
            </w:pPr>
            <w:r>
              <w:t xml:space="preserve">Процент исполнения </w:t>
            </w:r>
          </w:p>
          <w:p>
            <w:pPr>
              <w:jc w:val="center"/>
            </w:pPr>
            <w:r>
              <w:t>к плану</w:t>
            </w:r>
            <w:r>
              <w:br/>
              <w:t xml:space="preserve"> 2019 г.</w:t>
            </w:r>
          </w:p>
        </w:tc>
      </w:tr>
      <w:tr>
        <w:trPr>
          <w:trHeight w:val="255"/>
        </w:trPr>
        <w:tc>
          <w:tcPr>
            <w:tcW w:w="710" w:type="dxa"/>
            <w:shd w:val="clear" w:color="auto" w:fill="auto"/>
            <w:noWrap/>
            <w:vAlign w:val="center"/>
          </w:tcPr>
          <w:p>
            <w:pPr>
              <w:jc w:val="center"/>
            </w:pPr>
          </w:p>
        </w:tc>
        <w:tc>
          <w:tcPr>
            <w:tcW w:w="3983" w:type="dxa"/>
            <w:shd w:val="clear" w:color="auto" w:fill="auto"/>
            <w:vAlign w:val="center"/>
          </w:tcPr>
          <w:p>
            <w:proofErr w:type="gramStart"/>
            <w:r>
              <w:t>Администрация</w:t>
            </w:r>
            <w:proofErr w:type="gramEnd"/>
            <w:r>
              <w:t xml:space="preserve"> ЗАТО Северск: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>
            <w:pPr>
              <w:jc w:val="right"/>
            </w:pPr>
            <w:r>
              <w:t>330 166,92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>
            <w:pPr>
              <w:jc w:val="right"/>
            </w:pPr>
            <w:r>
              <w:t>321 643,72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>
            <w:pPr>
              <w:jc w:val="center"/>
            </w:pPr>
            <w:r>
              <w:t>97,4</w:t>
            </w:r>
          </w:p>
        </w:tc>
      </w:tr>
      <w:tr>
        <w:trPr>
          <w:trHeight w:val="199"/>
        </w:trPr>
        <w:tc>
          <w:tcPr>
            <w:tcW w:w="710" w:type="dxa"/>
            <w:shd w:val="clear" w:color="auto" w:fill="auto"/>
            <w:noWrap/>
            <w:vAlign w:val="center"/>
          </w:tcPr>
          <w:p>
            <w:pPr>
              <w:spacing w:line="264" w:lineRule="auto"/>
              <w:jc w:val="center"/>
            </w:pPr>
            <w:r>
              <w:t>0100</w:t>
            </w:r>
          </w:p>
        </w:tc>
        <w:tc>
          <w:tcPr>
            <w:tcW w:w="3983" w:type="dxa"/>
            <w:shd w:val="clear" w:color="auto" w:fill="auto"/>
            <w:vAlign w:val="center"/>
          </w:tcPr>
          <w:p>
            <w:pPr>
              <w:spacing w:line="264" w:lineRule="auto"/>
              <w:ind w:right="-108"/>
            </w:pPr>
            <w:r>
              <w:t>Общегосударственные вопросы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>
            <w:pPr>
              <w:jc w:val="right"/>
            </w:pPr>
            <w:r>
              <w:t>202 300,02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>
            <w:pPr>
              <w:jc w:val="right"/>
            </w:pPr>
            <w:r>
              <w:t>200 228,43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>
            <w:pPr>
              <w:jc w:val="center"/>
            </w:pPr>
            <w:r>
              <w:t>99,0</w:t>
            </w:r>
          </w:p>
        </w:tc>
      </w:tr>
      <w:tr>
        <w:trPr>
          <w:trHeight w:val="223"/>
        </w:trPr>
        <w:tc>
          <w:tcPr>
            <w:tcW w:w="710" w:type="dxa"/>
            <w:shd w:val="clear" w:color="auto" w:fill="auto"/>
            <w:noWrap/>
            <w:vAlign w:val="center"/>
          </w:tcPr>
          <w:p>
            <w:pPr>
              <w:spacing w:line="264" w:lineRule="auto"/>
              <w:jc w:val="center"/>
            </w:pPr>
            <w:r>
              <w:t>0200</w:t>
            </w:r>
          </w:p>
        </w:tc>
        <w:tc>
          <w:tcPr>
            <w:tcW w:w="3983" w:type="dxa"/>
            <w:shd w:val="clear" w:color="auto" w:fill="auto"/>
            <w:vAlign w:val="center"/>
          </w:tcPr>
          <w:p>
            <w:pPr>
              <w:pStyle w:val="31"/>
              <w:ind w:right="0"/>
              <w:jc w:val="left"/>
              <w:rPr>
                <w:sz w:val="20"/>
              </w:rPr>
            </w:pPr>
            <w:r>
              <w:rPr>
                <w:sz w:val="20"/>
              </w:rPr>
              <w:t>Национальная оборона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>
            <w:pPr>
              <w:jc w:val="right"/>
            </w:pPr>
            <w:r>
              <w:t>79,11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>
            <w:pPr>
              <w:jc w:val="right"/>
            </w:pPr>
            <w:r>
              <w:t>79,11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>
            <w:pPr>
              <w:jc w:val="center"/>
            </w:pPr>
            <w:r>
              <w:t>100,0</w:t>
            </w:r>
          </w:p>
        </w:tc>
      </w:tr>
      <w:tr>
        <w:trPr>
          <w:trHeight w:val="255"/>
        </w:trPr>
        <w:tc>
          <w:tcPr>
            <w:tcW w:w="710" w:type="dxa"/>
            <w:shd w:val="clear" w:color="auto" w:fill="auto"/>
            <w:noWrap/>
            <w:vAlign w:val="center"/>
          </w:tcPr>
          <w:p>
            <w:pPr>
              <w:spacing w:line="264" w:lineRule="auto"/>
              <w:jc w:val="center"/>
            </w:pPr>
            <w:r>
              <w:t>0400</w:t>
            </w:r>
          </w:p>
        </w:tc>
        <w:tc>
          <w:tcPr>
            <w:tcW w:w="3983" w:type="dxa"/>
            <w:shd w:val="clear" w:color="auto" w:fill="auto"/>
            <w:vAlign w:val="center"/>
          </w:tcPr>
          <w:p>
            <w:pPr>
              <w:pStyle w:val="31"/>
              <w:ind w:right="0"/>
              <w:jc w:val="left"/>
              <w:rPr>
                <w:sz w:val="20"/>
              </w:rPr>
            </w:pPr>
            <w:r>
              <w:rPr>
                <w:sz w:val="20"/>
              </w:rPr>
              <w:t>Национальная экономика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>
            <w:pPr>
              <w:jc w:val="right"/>
            </w:pPr>
            <w:r>
              <w:t>24 321,10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>
            <w:pPr>
              <w:jc w:val="right"/>
            </w:pPr>
            <w:r>
              <w:t>24 288,77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>
            <w:pPr>
              <w:jc w:val="center"/>
            </w:pPr>
            <w:r>
              <w:t>99,9</w:t>
            </w:r>
          </w:p>
        </w:tc>
      </w:tr>
      <w:tr>
        <w:trPr>
          <w:trHeight w:val="255"/>
        </w:trPr>
        <w:tc>
          <w:tcPr>
            <w:tcW w:w="710" w:type="dxa"/>
            <w:shd w:val="clear" w:color="auto" w:fill="auto"/>
            <w:noWrap/>
            <w:vAlign w:val="center"/>
          </w:tcPr>
          <w:p>
            <w:pPr>
              <w:spacing w:line="264" w:lineRule="auto"/>
              <w:jc w:val="center"/>
            </w:pPr>
            <w:r>
              <w:t>0600</w:t>
            </w:r>
          </w:p>
        </w:tc>
        <w:tc>
          <w:tcPr>
            <w:tcW w:w="3983" w:type="dxa"/>
            <w:shd w:val="clear" w:color="auto" w:fill="auto"/>
            <w:vAlign w:val="center"/>
          </w:tcPr>
          <w:p>
            <w:pPr>
              <w:pStyle w:val="31"/>
              <w:ind w:right="0"/>
              <w:jc w:val="left"/>
              <w:rPr>
                <w:sz w:val="20"/>
              </w:rPr>
            </w:pPr>
            <w:r>
              <w:rPr>
                <w:sz w:val="20"/>
              </w:rPr>
              <w:t xml:space="preserve">Охрана окружающей среды 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>
            <w:pPr>
              <w:jc w:val="right"/>
            </w:pPr>
            <w:r>
              <w:t>224,24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>
            <w:pPr>
              <w:jc w:val="right"/>
            </w:pPr>
            <w:r>
              <w:t>224,22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>
            <w:pPr>
              <w:jc w:val="center"/>
            </w:pPr>
            <w:r>
              <w:t>100,0</w:t>
            </w:r>
          </w:p>
        </w:tc>
      </w:tr>
      <w:tr>
        <w:trPr>
          <w:trHeight w:val="255"/>
        </w:trPr>
        <w:tc>
          <w:tcPr>
            <w:tcW w:w="710" w:type="dxa"/>
            <w:shd w:val="clear" w:color="auto" w:fill="auto"/>
            <w:noWrap/>
            <w:vAlign w:val="center"/>
          </w:tcPr>
          <w:p>
            <w:pPr>
              <w:spacing w:line="264" w:lineRule="auto"/>
              <w:jc w:val="center"/>
            </w:pPr>
            <w:r>
              <w:t>1000</w:t>
            </w:r>
          </w:p>
        </w:tc>
        <w:tc>
          <w:tcPr>
            <w:tcW w:w="3983" w:type="dxa"/>
            <w:shd w:val="clear" w:color="auto" w:fill="auto"/>
            <w:vAlign w:val="center"/>
          </w:tcPr>
          <w:p>
            <w:pPr>
              <w:spacing w:line="264" w:lineRule="auto"/>
              <w:ind w:right="-110"/>
            </w:pPr>
            <w:r>
              <w:t>Социальная политика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>
            <w:pPr>
              <w:jc w:val="right"/>
            </w:pPr>
            <w:r>
              <w:t>103 242,46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>
            <w:pPr>
              <w:jc w:val="right"/>
            </w:pPr>
            <w:r>
              <w:t>96 823,19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>
            <w:pPr>
              <w:jc w:val="center"/>
            </w:pPr>
            <w:r>
              <w:t>93,8</w:t>
            </w:r>
          </w:p>
        </w:tc>
      </w:tr>
    </w:tbl>
    <w:p>
      <w:pPr>
        <w:pStyle w:val="3"/>
        <w:spacing w:before="0" w:after="120"/>
        <w:jc w:val="center"/>
        <w:rPr>
          <w:rFonts w:ascii="Times New Roman" w:hAnsi="Times New Roman" w:cs="Times New Roman"/>
          <w:sz w:val="16"/>
          <w:szCs w:val="16"/>
          <w:highlight w:val="yellow"/>
        </w:rPr>
      </w:pPr>
    </w:p>
    <w:p>
      <w:pPr>
        <w:pStyle w:val="3"/>
        <w:spacing w:before="0" w:after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4.2.3. Финансовое управление Администрации ЗАТО Северск</w:t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Кассовое исполнение расходов за 2019 год составило 37 669,68 тыс.руб. или 95,9% к утвержденным годовым назначениям. </w:t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общей структуре расходов удельный вес расходов, подведомственных Финансовому управлению составил 0,8%. </w:t>
      </w:r>
    </w:p>
    <w:p>
      <w:pPr>
        <w:ind w:right="55" w:firstLine="708"/>
        <w:jc w:val="both"/>
        <w:rPr>
          <w:spacing w:val="-4"/>
          <w:sz w:val="24"/>
          <w:szCs w:val="24"/>
        </w:rPr>
      </w:pPr>
      <w:r>
        <w:rPr>
          <w:sz w:val="24"/>
          <w:szCs w:val="24"/>
        </w:rPr>
        <w:t xml:space="preserve">Исполнение расходов по программно-целевому принципу в рамках муниципальной программы </w:t>
      </w:r>
      <w:r>
        <w:rPr>
          <w:bCs/>
          <w:sz w:val="24"/>
          <w:szCs w:val="24"/>
        </w:rPr>
        <w:t xml:space="preserve">«Эффективное управление муниципальными финансами ЗАТО Северск» </w:t>
      </w:r>
      <w:r>
        <w:rPr>
          <w:sz w:val="24"/>
          <w:szCs w:val="24"/>
        </w:rPr>
        <w:t>составило 37 334,44 тыс.руб., что составляет 99,2% от общей суммы расходов управления;</w:t>
      </w:r>
      <w:r>
        <w:rPr>
          <w:spacing w:val="-4"/>
          <w:sz w:val="24"/>
          <w:szCs w:val="24"/>
        </w:rPr>
        <w:t xml:space="preserve"> по непрограммным мероприятиям составило 335,24 тыс. руб. за счет средств местного бюджета (на оплату исполнительного листа по возмещению расходов ООО "Наладчик").</w:t>
      </w:r>
    </w:p>
    <w:p>
      <w:pPr>
        <w:shd w:val="clear" w:color="auto" w:fill="FFFFFF"/>
        <w:spacing w:line="274" w:lineRule="exact"/>
        <w:ind w:left="6" w:right="68" w:firstLine="697"/>
        <w:jc w:val="both"/>
        <w:rPr>
          <w:sz w:val="24"/>
          <w:szCs w:val="24"/>
        </w:rPr>
      </w:pPr>
      <w:r>
        <w:rPr>
          <w:sz w:val="24"/>
          <w:szCs w:val="24"/>
        </w:rPr>
        <w:t>Расходы на обслуживание долга в 2019 году при плане 11 083,02 тыс.руб., составили 10 442,82 тыс.руб., при этом первоначально на эти цели было предусмотрено 15 265,73 тыс.руб. Предпринятые меры по досрочному погашению бюджетного и коммерческого кредитов позволили сократить первоначальные расходы по обслуживанию муниципального долга на 4 822,91 тыс.руб.</w:t>
      </w:r>
    </w:p>
    <w:p>
      <w:pPr>
        <w:shd w:val="clear" w:color="auto" w:fill="FFFFFF"/>
        <w:spacing w:line="274" w:lineRule="exact"/>
        <w:ind w:left="6" w:right="68" w:firstLine="697"/>
        <w:jc w:val="both"/>
        <w:rPr>
          <w:bCs/>
          <w:sz w:val="24"/>
          <w:szCs w:val="24"/>
        </w:rPr>
      </w:pPr>
    </w:p>
    <w:p>
      <w:pPr>
        <w:pStyle w:val="3"/>
        <w:spacing w:before="0" w:after="160"/>
        <w:ind w:right="2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4.2.4. Управление молодежной и семейной политики, культуры и спорта Администрации ЗАТО Северск</w:t>
      </w:r>
    </w:p>
    <w:p>
      <w:pPr>
        <w:spacing w:before="12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Кассовое исполнение расходов за год составило 960 744,49 тыс.руб. или 99,9% </w:t>
      </w:r>
      <w:r>
        <w:rPr>
          <w:sz w:val="24"/>
          <w:szCs w:val="24"/>
        </w:rPr>
        <w:br/>
        <w:t>к утвержденным годовым назначениям.</w:t>
      </w:r>
    </w:p>
    <w:p>
      <w:pPr>
        <w:pStyle w:val="31"/>
        <w:ind w:right="0" w:firstLine="709"/>
        <w:rPr>
          <w:sz w:val="24"/>
          <w:szCs w:val="24"/>
        </w:rPr>
      </w:pPr>
      <w:r>
        <w:rPr>
          <w:sz w:val="24"/>
          <w:szCs w:val="24"/>
        </w:rPr>
        <w:t xml:space="preserve">В общей структуре произведенных расходов удельный вес расходов, подведомственных УМСП КиС, составил 20,9%. </w:t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УМСП КиС является ответственным исполнителем трех муниципальных программ и участником одной муниципальной программы,</w:t>
      </w:r>
      <w:r>
        <w:rPr>
          <w:bCs/>
          <w:sz w:val="24"/>
          <w:szCs w:val="24"/>
        </w:rPr>
        <w:t xml:space="preserve"> расходы составили суммарно</w:t>
      </w:r>
      <w:r>
        <w:rPr>
          <w:sz w:val="24"/>
          <w:szCs w:val="24"/>
        </w:rPr>
        <w:t xml:space="preserve"> 958 436,12</w:t>
      </w:r>
      <w:r>
        <w:rPr>
          <w:spacing w:val="-4"/>
          <w:sz w:val="24"/>
          <w:szCs w:val="24"/>
        </w:rPr>
        <w:t> тыс.руб. или 99,9</w:t>
      </w:r>
      <w:r>
        <w:rPr>
          <w:sz w:val="24"/>
          <w:szCs w:val="24"/>
        </w:rPr>
        <w:t xml:space="preserve"> % к утвержденным годовым назначениям.</w:t>
      </w:r>
    </w:p>
    <w:p>
      <w:pPr>
        <w:spacing w:before="120" w:after="120"/>
        <w:ind w:right="57"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>Таблица 46.</w:t>
      </w:r>
      <w:r>
        <w:rPr>
          <w:spacing w:val="-4"/>
          <w:sz w:val="24"/>
          <w:szCs w:val="24"/>
        </w:rPr>
        <w:t xml:space="preserve"> Расходы УМСП КиС в разрезе МП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6"/>
        <w:gridCol w:w="4961"/>
        <w:gridCol w:w="1417"/>
        <w:gridCol w:w="1276"/>
        <w:gridCol w:w="1276"/>
      </w:tblGrid>
      <w:tr>
        <w:trPr>
          <w:cantSplit/>
          <w:trHeight w:val="889"/>
        </w:trPr>
        <w:tc>
          <w:tcPr>
            <w:tcW w:w="426" w:type="dxa"/>
            <w:shd w:val="clear" w:color="auto" w:fill="auto"/>
            <w:noWrap/>
            <w:textDirection w:val="btLr"/>
            <w:vAlign w:val="center"/>
          </w:tcPr>
          <w:p>
            <w:pPr>
              <w:ind w:left="-57" w:right="-57"/>
              <w:jc w:val="center"/>
            </w:pPr>
            <w:r>
              <w:rPr>
                <w:lang w:val="en-US"/>
              </w:rPr>
              <w:t xml:space="preserve">№ </w:t>
            </w:r>
            <w:r>
              <w:t>п/п</w:t>
            </w:r>
          </w:p>
        </w:tc>
        <w:tc>
          <w:tcPr>
            <w:tcW w:w="4961" w:type="dxa"/>
            <w:shd w:val="clear" w:color="auto" w:fill="auto"/>
            <w:vAlign w:val="center"/>
          </w:tcPr>
          <w:p>
            <w:pPr>
              <w:jc w:val="center"/>
            </w:pPr>
            <w:r>
              <w:t>Наименование программы</w:t>
            </w:r>
          </w:p>
        </w:tc>
        <w:tc>
          <w:tcPr>
            <w:tcW w:w="1417" w:type="dxa"/>
            <w:shd w:val="clear" w:color="000000" w:fill="FFFFFF"/>
            <w:vAlign w:val="center"/>
          </w:tcPr>
          <w:p>
            <w:pPr>
              <w:jc w:val="center"/>
            </w:pPr>
            <w:r>
              <w:t>Уточненный план</w:t>
            </w:r>
            <w:r>
              <w:br/>
              <w:t>2019 г., тыс.руб.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ind w:right="-42"/>
              <w:jc w:val="center"/>
            </w:pPr>
            <w:r>
              <w:t xml:space="preserve">Исполнено </w:t>
            </w:r>
          </w:p>
          <w:p>
            <w:pPr>
              <w:ind w:right="-42"/>
              <w:jc w:val="center"/>
            </w:pPr>
            <w:r>
              <w:t>за 2019 г., тыс</w:t>
            </w:r>
            <w:proofErr w:type="gramStart"/>
            <w:r>
              <w:t>.р</w:t>
            </w:r>
            <w:proofErr w:type="gramEnd"/>
            <w:r>
              <w:t>уб.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jc w:val="center"/>
            </w:pPr>
            <w:r>
              <w:t xml:space="preserve">Процент исполнения </w:t>
            </w:r>
          </w:p>
          <w:p>
            <w:pPr>
              <w:jc w:val="center"/>
            </w:pPr>
            <w:r>
              <w:t>к плану</w:t>
            </w:r>
            <w:r>
              <w:br/>
              <w:t xml:space="preserve"> 2019 г.</w:t>
            </w:r>
          </w:p>
        </w:tc>
      </w:tr>
      <w:tr>
        <w:trPr>
          <w:trHeight w:val="381"/>
        </w:trPr>
        <w:tc>
          <w:tcPr>
            <w:tcW w:w="426" w:type="dxa"/>
            <w:shd w:val="clear" w:color="auto" w:fill="auto"/>
            <w:noWrap/>
            <w:vAlign w:val="center"/>
          </w:tcPr>
          <w:p>
            <w:pPr>
              <w:jc w:val="center"/>
            </w:pPr>
            <w:r>
              <w:t>1</w:t>
            </w:r>
          </w:p>
          <w:p>
            <w:pPr>
              <w:jc w:val="center"/>
            </w:pPr>
          </w:p>
        </w:tc>
        <w:tc>
          <w:tcPr>
            <w:tcW w:w="4961" w:type="dxa"/>
            <w:shd w:val="clear" w:color="auto" w:fill="auto"/>
            <w:vAlign w:val="center"/>
          </w:tcPr>
          <w:p>
            <w:r>
              <w:t xml:space="preserve">МП «Развитие физической культуры и спорта в ЗАТО Северск» 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>
            <w:pPr>
              <w:jc w:val="right"/>
            </w:pPr>
            <w:r>
              <w:t>339 530,21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>
            <w:pPr>
              <w:jc w:val="right"/>
            </w:pPr>
            <w:r>
              <w:t>339 530,09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>
            <w:pPr>
              <w:jc w:val="center"/>
            </w:pPr>
            <w:r>
              <w:t>100,0</w:t>
            </w:r>
          </w:p>
        </w:tc>
      </w:tr>
      <w:tr>
        <w:trPr>
          <w:trHeight w:val="261"/>
        </w:trPr>
        <w:tc>
          <w:tcPr>
            <w:tcW w:w="426" w:type="dxa"/>
            <w:shd w:val="clear" w:color="auto" w:fill="auto"/>
            <w:noWrap/>
            <w:vAlign w:val="center"/>
          </w:tcPr>
          <w:p>
            <w:pPr>
              <w:jc w:val="center"/>
            </w:pPr>
            <w:r>
              <w:t>2</w:t>
            </w:r>
          </w:p>
        </w:tc>
        <w:tc>
          <w:tcPr>
            <w:tcW w:w="4961" w:type="dxa"/>
            <w:shd w:val="clear" w:color="auto" w:fill="auto"/>
            <w:vAlign w:val="center"/>
          </w:tcPr>
          <w:p>
            <w:r>
              <w:t xml:space="preserve">МП «Молодежная политика в ЗАТО Северск» 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>
            <w:pPr>
              <w:jc w:val="right"/>
            </w:pPr>
            <w:r>
              <w:t>100 066,50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>
            <w:pPr>
              <w:jc w:val="right"/>
            </w:pPr>
            <w:r>
              <w:t>100 008,43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>
            <w:pPr>
              <w:jc w:val="center"/>
            </w:pPr>
            <w:r>
              <w:t>99,9</w:t>
            </w:r>
          </w:p>
        </w:tc>
      </w:tr>
      <w:tr>
        <w:trPr>
          <w:trHeight w:val="320"/>
        </w:trPr>
        <w:tc>
          <w:tcPr>
            <w:tcW w:w="426" w:type="dxa"/>
            <w:shd w:val="clear" w:color="auto" w:fill="auto"/>
            <w:noWrap/>
            <w:vAlign w:val="center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4961" w:type="dxa"/>
            <w:shd w:val="clear" w:color="auto" w:fill="auto"/>
            <w:vAlign w:val="center"/>
          </w:tcPr>
          <w:p>
            <w:pPr>
              <w:rPr>
                <w:bCs/>
              </w:rPr>
            </w:pPr>
            <w:r>
              <w:t xml:space="preserve">МП </w:t>
            </w:r>
            <w:r>
              <w:rPr>
                <w:bCs/>
              </w:rPr>
              <w:t xml:space="preserve">«Развитие культуры и туризма в ЗАТО Северск» 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>
            <w:pPr>
              <w:jc w:val="right"/>
            </w:pPr>
            <w:r>
              <w:t>509 205,92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>
            <w:pPr>
              <w:jc w:val="right"/>
            </w:pPr>
            <w:r>
              <w:t>508 471,60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>
            <w:pPr>
              <w:jc w:val="center"/>
            </w:pPr>
            <w:r>
              <w:t>99,9</w:t>
            </w:r>
          </w:p>
        </w:tc>
      </w:tr>
      <w:tr>
        <w:trPr>
          <w:trHeight w:val="452"/>
        </w:trPr>
        <w:tc>
          <w:tcPr>
            <w:tcW w:w="426" w:type="dxa"/>
            <w:shd w:val="clear" w:color="auto" w:fill="auto"/>
            <w:noWrap/>
            <w:vAlign w:val="center"/>
          </w:tcPr>
          <w:p>
            <w:pPr>
              <w:jc w:val="center"/>
            </w:pPr>
            <w:r>
              <w:t>4</w:t>
            </w:r>
          </w:p>
        </w:tc>
        <w:tc>
          <w:tcPr>
            <w:tcW w:w="4961" w:type="dxa"/>
            <w:shd w:val="clear" w:color="auto" w:fill="auto"/>
            <w:vAlign w:val="center"/>
          </w:tcPr>
          <w:p>
            <w:r>
              <w:t xml:space="preserve">МП «Обеспечение безопасности населения на территории ЗАТО Северск» 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>
            <w:pPr>
              <w:jc w:val="right"/>
            </w:pPr>
            <w:r>
              <w:t>10 426,00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>
            <w:pPr>
              <w:jc w:val="right"/>
            </w:pPr>
            <w:r>
              <w:t>10 426,00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>
            <w:pPr>
              <w:jc w:val="center"/>
            </w:pPr>
            <w:r>
              <w:t>100,0</w:t>
            </w:r>
          </w:p>
        </w:tc>
      </w:tr>
    </w:tbl>
    <w:p>
      <w:pPr>
        <w:spacing w:before="12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разрезе разделов исполнение расходов осуществлялось по четырем направлениям: </w:t>
      </w:r>
    </w:p>
    <w:p>
      <w:pPr>
        <w:spacing w:before="120" w:after="120"/>
        <w:ind w:right="57" w:firstLine="709"/>
        <w:jc w:val="both"/>
        <w:rPr>
          <w:sz w:val="24"/>
          <w:szCs w:val="24"/>
        </w:rPr>
      </w:pPr>
      <w:r>
        <w:rPr>
          <w:sz w:val="24"/>
          <w:szCs w:val="24"/>
        </w:rPr>
        <w:t>Таблица 47. Расходы УМСП КиС по разделам за 2019 год</w:t>
      </w:r>
    </w:p>
    <w:tbl>
      <w:tblPr>
        <w:tblW w:w="9395" w:type="dxa"/>
        <w:jc w:val="center"/>
        <w:tblLayout w:type="fixed"/>
        <w:tblLook w:val="04A0"/>
      </w:tblPr>
      <w:tblGrid>
        <w:gridCol w:w="1135"/>
        <w:gridCol w:w="4131"/>
        <w:gridCol w:w="1559"/>
        <w:gridCol w:w="1291"/>
        <w:gridCol w:w="1279"/>
      </w:tblGrid>
      <w:tr>
        <w:trPr>
          <w:trHeight w:val="984"/>
          <w:jc w:val="center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>
            <w:pPr>
              <w:jc w:val="center"/>
            </w:pPr>
            <w:r>
              <w:t>Раздел, подраздел</w:t>
            </w:r>
          </w:p>
        </w:tc>
        <w:tc>
          <w:tcPr>
            <w:tcW w:w="413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</w:pPr>
            <w:r>
              <w:t>Наименование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</w:pPr>
            <w:r>
              <w:t>Уточненный план</w:t>
            </w:r>
            <w:r>
              <w:br/>
              <w:t>2019 г., тыс.руб.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right="-42"/>
              <w:jc w:val="center"/>
            </w:pPr>
            <w:r>
              <w:t xml:space="preserve">Исполнено </w:t>
            </w:r>
          </w:p>
          <w:p>
            <w:pPr>
              <w:ind w:right="-42"/>
              <w:jc w:val="center"/>
            </w:pPr>
            <w:r>
              <w:t>за 2019 г., тыс</w:t>
            </w:r>
            <w:proofErr w:type="gramStart"/>
            <w:r>
              <w:t>.р</w:t>
            </w:r>
            <w:proofErr w:type="gramEnd"/>
            <w:r>
              <w:t>уб.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t xml:space="preserve">Процент исполнения </w:t>
            </w:r>
          </w:p>
          <w:p>
            <w:pPr>
              <w:jc w:val="center"/>
            </w:pPr>
            <w:r>
              <w:t>к плану</w:t>
            </w:r>
            <w:r>
              <w:br/>
              <w:t xml:space="preserve"> 2019 г.</w:t>
            </w:r>
          </w:p>
        </w:tc>
      </w:tr>
      <w:tr>
        <w:trPr>
          <w:trHeight w:val="255"/>
          <w:jc w:val="center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center"/>
            </w:pPr>
          </w:p>
        </w:tc>
        <w:tc>
          <w:tcPr>
            <w:tcW w:w="4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r>
              <w:t>УМСП КиС: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right"/>
            </w:pPr>
            <w:r>
              <w:t>961 537,00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right"/>
            </w:pPr>
            <w:r>
              <w:t>960 744,49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t>99,9</w:t>
            </w:r>
          </w:p>
        </w:tc>
      </w:tr>
      <w:tr>
        <w:trPr>
          <w:trHeight w:val="255"/>
          <w:jc w:val="center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center"/>
            </w:pPr>
            <w:r>
              <w:t>0700</w:t>
            </w:r>
          </w:p>
        </w:tc>
        <w:tc>
          <w:tcPr>
            <w:tcW w:w="4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r>
              <w:t>Образование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right"/>
            </w:pPr>
            <w:r>
              <w:t>416 004,04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right"/>
            </w:pPr>
            <w:r>
              <w:t>415 391,54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t>99,9</w:t>
            </w:r>
          </w:p>
        </w:tc>
      </w:tr>
      <w:tr>
        <w:trPr>
          <w:trHeight w:val="255"/>
          <w:jc w:val="center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center"/>
            </w:pPr>
            <w:r>
              <w:t>0800</w:t>
            </w:r>
          </w:p>
        </w:tc>
        <w:tc>
          <w:tcPr>
            <w:tcW w:w="4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r>
              <w:t>Культура и кинематография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right"/>
            </w:pPr>
            <w:r>
              <w:t>388 525,84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right"/>
            </w:pPr>
            <w:r>
              <w:t>388 345,95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t>100,0</w:t>
            </w:r>
          </w:p>
        </w:tc>
      </w:tr>
      <w:tr>
        <w:trPr>
          <w:trHeight w:val="276"/>
          <w:jc w:val="center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center"/>
            </w:pPr>
            <w:r>
              <w:t>1000</w:t>
            </w:r>
          </w:p>
        </w:tc>
        <w:tc>
          <w:tcPr>
            <w:tcW w:w="4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r>
              <w:t>Социальная политика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right"/>
            </w:pPr>
            <w:r>
              <w:t>8 668,80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ind w:left="37" w:hanging="37"/>
              <w:jc w:val="right"/>
            </w:pPr>
            <w:r>
              <w:t>8 668,80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t>100,0</w:t>
            </w:r>
          </w:p>
        </w:tc>
      </w:tr>
      <w:tr>
        <w:trPr>
          <w:trHeight w:val="276"/>
          <w:jc w:val="center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center"/>
            </w:pPr>
            <w:r>
              <w:t>1100</w:t>
            </w:r>
          </w:p>
        </w:tc>
        <w:tc>
          <w:tcPr>
            <w:tcW w:w="4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r>
              <w:t>Физическая культура и спорт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right"/>
            </w:pPr>
            <w:r>
              <w:t>148 338,32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right"/>
            </w:pPr>
            <w:r>
              <w:t>148 338,20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t>100,0</w:t>
            </w:r>
          </w:p>
        </w:tc>
      </w:tr>
    </w:tbl>
    <w:p>
      <w:pPr>
        <w:pStyle w:val="31"/>
        <w:tabs>
          <w:tab w:val="clear" w:pos="5529"/>
          <w:tab w:val="left" w:pos="709"/>
        </w:tabs>
        <w:ind w:right="-2"/>
        <w:rPr>
          <w:sz w:val="16"/>
          <w:szCs w:val="16"/>
        </w:rPr>
      </w:pPr>
      <w:r>
        <w:rPr>
          <w:sz w:val="24"/>
          <w:szCs w:val="24"/>
        </w:rPr>
        <w:tab/>
      </w:r>
    </w:p>
    <w:p>
      <w:pPr>
        <w:pStyle w:val="31"/>
        <w:tabs>
          <w:tab w:val="clear" w:pos="5529"/>
          <w:tab w:val="left" w:pos="709"/>
        </w:tabs>
        <w:ind w:right="-2"/>
        <w:rPr>
          <w:spacing w:val="-4"/>
          <w:sz w:val="24"/>
          <w:szCs w:val="24"/>
        </w:rPr>
      </w:pPr>
      <w:r>
        <w:rPr>
          <w:sz w:val="24"/>
          <w:szCs w:val="24"/>
        </w:rPr>
        <w:tab/>
        <w:t xml:space="preserve">УМСП КиС за 2019 год </w:t>
      </w:r>
      <w:r>
        <w:rPr>
          <w:spacing w:val="-4"/>
          <w:sz w:val="24"/>
          <w:szCs w:val="24"/>
        </w:rPr>
        <w:t xml:space="preserve">исполнялись непрограммные мероприятия: </w:t>
      </w:r>
    </w:p>
    <w:p>
      <w:pPr>
        <w:pStyle w:val="31"/>
        <w:tabs>
          <w:tab w:val="clear" w:pos="5529"/>
          <w:tab w:val="left" w:pos="709"/>
        </w:tabs>
        <w:ind w:right="0" w:firstLine="709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- в сумме 597,15 тыс.руб. за счет средств местного бюджета (ФНР Администрации ЗАТО Северск);</w:t>
      </w:r>
    </w:p>
    <w:p>
      <w:pPr>
        <w:pStyle w:val="31"/>
        <w:tabs>
          <w:tab w:val="clear" w:pos="5529"/>
          <w:tab w:val="left" w:pos="709"/>
        </w:tabs>
        <w:ind w:right="0" w:firstLine="709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- в сумме 1 711,22 тыс.руб. за счет средств областного бюджета (резервный фонд ФНР Администрации Томской области). </w:t>
      </w:r>
    </w:p>
    <w:p>
      <w:pPr>
        <w:pStyle w:val="31"/>
        <w:tabs>
          <w:tab w:val="clear" w:pos="5529"/>
          <w:tab w:val="left" w:pos="709"/>
        </w:tabs>
        <w:ind w:right="0"/>
        <w:rPr>
          <w:spacing w:val="-4"/>
          <w:sz w:val="24"/>
          <w:szCs w:val="24"/>
        </w:rPr>
      </w:pPr>
    </w:p>
    <w:p>
      <w:pPr>
        <w:pStyle w:val="3"/>
        <w:spacing w:before="0" w:after="120"/>
        <w:ind w:right="28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" w:hAnsi="Times New Roman" w:cs="Times New Roman"/>
          <w:sz w:val="24"/>
          <w:szCs w:val="24"/>
        </w:rPr>
        <w:t>4.2.5. Управление культуры Администрации ЗАТО Северск</w:t>
      </w:r>
    </w:p>
    <w:p>
      <w:pPr>
        <w:spacing w:before="12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Кассовое исполнение расходов за год составило 205,69 тыс.руб. или 42,9% </w:t>
      </w:r>
      <w:r>
        <w:rPr>
          <w:sz w:val="24"/>
          <w:szCs w:val="24"/>
        </w:rPr>
        <w:br/>
        <w:t>к утвержденным годовым назначениям.</w:t>
      </w:r>
    </w:p>
    <w:p>
      <w:pPr>
        <w:spacing w:before="120" w:after="120"/>
        <w:ind w:right="57"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>Таблица 57.</w:t>
      </w:r>
      <w:r>
        <w:rPr>
          <w:spacing w:val="-4"/>
          <w:sz w:val="24"/>
          <w:szCs w:val="24"/>
        </w:rPr>
        <w:t xml:space="preserve"> Расходы Управления культуры в разрезе МП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6"/>
        <w:gridCol w:w="4961"/>
        <w:gridCol w:w="1417"/>
        <w:gridCol w:w="1276"/>
        <w:gridCol w:w="1276"/>
      </w:tblGrid>
      <w:tr>
        <w:trPr>
          <w:cantSplit/>
          <w:trHeight w:val="971"/>
        </w:trPr>
        <w:tc>
          <w:tcPr>
            <w:tcW w:w="426" w:type="dxa"/>
            <w:shd w:val="clear" w:color="auto" w:fill="auto"/>
            <w:noWrap/>
            <w:textDirection w:val="btLr"/>
            <w:vAlign w:val="center"/>
          </w:tcPr>
          <w:p>
            <w:pPr>
              <w:ind w:left="-57" w:right="-57"/>
              <w:jc w:val="center"/>
            </w:pPr>
            <w:r>
              <w:rPr>
                <w:lang w:val="en-US"/>
              </w:rPr>
              <w:t xml:space="preserve">№ </w:t>
            </w:r>
            <w:r>
              <w:t>п/п</w:t>
            </w:r>
          </w:p>
        </w:tc>
        <w:tc>
          <w:tcPr>
            <w:tcW w:w="4961" w:type="dxa"/>
            <w:shd w:val="clear" w:color="auto" w:fill="auto"/>
            <w:vAlign w:val="center"/>
          </w:tcPr>
          <w:p>
            <w:pPr>
              <w:jc w:val="center"/>
            </w:pPr>
            <w:r>
              <w:t>Наименование программы</w:t>
            </w:r>
          </w:p>
        </w:tc>
        <w:tc>
          <w:tcPr>
            <w:tcW w:w="1417" w:type="dxa"/>
            <w:shd w:val="clear" w:color="000000" w:fill="FFFFFF"/>
            <w:vAlign w:val="center"/>
          </w:tcPr>
          <w:p>
            <w:pPr>
              <w:jc w:val="center"/>
            </w:pPr>
            <w:r>
              <w:t>Уточненный план</w:t>
            </w:r>
            <w:r>
              <w:br/>
              <w:t>2019 г., тыс.руб.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ind w:right="-42"/>
              <w:jc w:val="center"/>
            </w:pPr>
            <w:r>
              <w:t xml:space="preserve">Исполнено </w:t>
            </w:r>
          </w:p>
          <w:p>
            <w:pPr>
              <w:ind w:right="-42"/>
              <w:jc w:val="center"/>
            </w:pPr>
            <w:r>
              <w:t>за 2019 г., тыс</w:t>
            </w:r>
            <w:proofErr w:type="gramStart"/>
            <w:r>
              <w:t>.р</w:t>
            </w:r>
            <w:proofErr w:type="gramEnd"/>
            <w:r>
              <w:t>уб.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jc w:val="center"/>
            </w:pPr>
            <w:r>
              <w:t xml:space="preserve">Процент исполнения </w:t>
            </w:r>
          </w:p>
          <w:p>
            <w:pPr>
              <w:jc w:val="center"/>
            </w:pPr>
            <w:r>
              <w:t>к плану</w:t>
            </w:r>
            <w:r>
              <w:br/>
              <w:t xml:space="preserve"> 2019 г.</w:t>
            </w:r>
          </w:p>
        </w:tc>
      </w:tr>
      <w:tr>
        <w:trPr>
          <w:trHeight w:val="320"/>
        </w:trPr>
        <w:tc>
          <w:tcPr>
            <w:tcW w:w="426" w:type="dxa"/>
            <w:shd w:val="clear" w:color="auto" w:fill="auto"/>
            <w:noWrap/>
            <w:vAlign w:val="center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4961" w:type="dxa"/>
            <w:shd w:val="clear" w:color="auto" w:fill="auto"/>
            <w:vAlign w:val="center"/>
          </w:tcPr>
          <w:p>
            <w:pPr>
              <w:rPr>
                <w:bCs/>
              </w:rPr>
            </w:pPr>
            <w:r>
              <w:t xml:space="preserve">МП </w:t>
            </w:r>
            <w:r>
              <w:rPr>
                <w:bCs/>
              </w:rPr>
              <w:t xml:space="preserve">«Развитие культуры и туризма в ЗАТО Северск» 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>
            <w:pPr>
              <w:jc w:val="right"/>
            </w:pPr>
            <w:r>
              <w:t>479,91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>
            <w:pPr>
              <w:jc w:val="right"/>
            </w:pPr>
            <w:r>
              <w:t>205,69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>
            <w:pPr>
              <w:jc w:val="center"/>
            </w:pPr>
            <w:r>
              <w:t>42,9</w:t>
            </w:r>
          </w:p>
        </w:tc>
      </w:tr>
    </w:tbl>
    <w:p>
      <w:pPr>
        <w:spacing w:before="120" w:after="60"/>
        <w:ind w:firstLine="709"/>
        <w:jc w:val="both"/>
        <w:rPr>
          <w:sz w:val="24"/>
          <w:szCs w:val="24"/>
        </w:rPr>
      </w:pPr>
    </w:p>
    <w:p>
      <w:pPr>
        <w:spacing w:before="120" w:after="60"/>
        <w:ind w:firstLine="709"/>
        <w:jc w:val="both"/>
        <w:rPr>
          <w:sz w:val="24"/>
          <w:szCs w:val="24"/>
        </w:rPr>
      </w:pPr>
    </w:p>
    <w:p>
      <w:pPr>
        <w:spacing w:before="120" w:after="60"/>
        <w:ind w:firstLine="709"/>
        <w:jc w:val="both"/>
        <w:rPr>
          <w:sz w:val="24"/>
          <w:szCs w:val="24"/>
        </w:rPr>
      </w:pPr>
    </w:p>
    <w:p>
      <w:pPr>
        <w:spacing w:before="120" w:after="6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Таблица 58. Расходы Управления культуры по разделам за 2019 год</w:t>
      </w:r>
    </w:p>
    <w:tbl>
      <w:tblPr>
        <w:tblW w:w="9395" w:type="dxa"/>
        <w:jc w:val="center"/>
        <w:tblLayout w:type="fixed"/>
        <w:tblLook w:val="04A0"/>
      </w:tblPr>
      <w:tblGrid>
        <w:gridCol w:w="1135"/>
        <w:gridCol w:w="4131"/>
        <w:gridCol w:w="1559"/>
        <w:gridCol w:w="1291"/>
        <w:gridCol w:w="1279"/>
      </w:tblGrid>
      <w:tr>
        <w:trPr>
          <w:trHeight w:val="984"/>
          <w:jc w:val="center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>
            <w:pPr>
              <w:jc w:val="center"/>
            </w:pPr>
            <w:r>
              <w:t>Раздел, подраздел</w:t>
            </w:r>
          </w:p>
        </w:tc>
        <w:tc>
          <w:tcPr>
            <w:tcW w:w="413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</w:pPr>
            <w:r>
              <w:t>Наименование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</w:pPr>
            <w:r>
              <w:t>Уточненный план</w:t>
            </w:r>
            <w:r>
              <w:br/>
              <w:t>2019 г., тыс.руб.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right="-42"/>
              <w:jc w:val="center"/>
            </w:pPr>
            <w:r>
              <w:t xml:space="preserve">Исполнено </w:t>
            </w:r>
          </w:p>
          <w:p>
            <w:pPr>
              <w:ind w:right="-42"/>
              <w:jc w:val="center"/>
            </w:pPr>
            <w:r>
              <w:t>за 2019 г., тыс</w:t>
            </w:r>
            <w:proofErr w:type="gramStart"/>
            <w:r>
              <w:t>.р</w:t>
            </w:r>
            <w:proofErr w:type="gramEnd"/>
            <w:r>
              <w:t>уб.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t xml:space="preserve">Процент исполнения </w:t>
            </w:r>
          </w:p>
          <w:p>
            <w:pPr>
              <w:jc w:val="center"/>
            </w:pPr>
            <w:r>
              <w:t>к плану</w:t>
            </w:r>
            <w:r>
              <w:br/>
              <w:t xml:space="preserve"> 2019 г.</w:t>
            </w:r>
          </w:p>
        </w:tc>
      </w:tr>
      <w:tr>
        <w:trPr>
          <w:trHeight w:val="369"/>
          <w:jc w:val="center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center"/>
            </w:pPr>
          </w:p>
        </w:tc>
        <w:tc>
          <w:tcPr>
            <w:tcW w:w="4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r>
              <w:t>Управление культуры: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right"/>
            </w:pPr>
            <w:r>
              <w:t>479,91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right"/>
            </w:pPr>
            <w:r>
              <w:t>205,69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t>42,9</w:t>
            </w:r>
          </w:p>
        </w:tc>
      </w:tr>
      <w:tr>
        <w:trPr>
          <w:trHeight w:val="255"/>
          <w:jc w:val="center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center"/>
            </w:pPr>
            <w:r>
              <w:t>0800</w:t>
            </w:r>
          </w:p>
        </w:tc>
        <w:tc>
          <w:tcPr>
            <w:tcW w:w="4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r>
              <w:t>Культура и кинематография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right"/>
            </w:pPr>
            <w:r>
              <w:t>479,91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right"/>
            </w:pPr>
            <w:r>
              <w:t>205,69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t>42,9</w:t>
            </w:r>
          </w:p>
        </w:tc>
      </w:tr>
    </w:tbl>
    <w:p>
      <w:pPr>
        <w:pStyle w:val="31"/>
        <w:spacing w:after="120"/>
        <w:ind w:right="0"/>
        <w:jc w:val="center"/>
        <w:rPr>
          <w:b/>
          <w:sz w:val="24"/>
          <w:szCs w:val="24"/>
          <w:highlight w:val="yellow"/>
        </w:rPr>
      </w:pPr>
    </w:p>
    <w:p>
      <w:pPr>
        <w:pStyle w:val="3"/>
        <w:spacing w:before="0" w:after="0"/>
        <w:ind w:right="28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" w:hAnsi="Times New Roman" w:cs="Times New Roman"/>
          <w:sz w:val="24"/>
          <w:szCs w:val="24"/>
        </w:rPr>
        <w:t>4.2.6. Управление молодежной и семейной политики, физической культуры и спорта Администрации ЗАТО Северск</w:t>
      </w:r>
    </w:p>
    <w:p>
      <w:pPr>
        <w:spacing w:before="12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Кассовое исполнение расходов за год составило 454,47 тыс.руб. или 98,5% </w:t>
      </w:r>
      <w:r>
        <w:rPr>
          <w:sz w:val="24"/>
          <w:szCs w:val="24"/>
        </w:rPr>
        <w:br/>
        <w:t>к утвержденным годовым назначениям.</w:t>
      </w:r>
    </w:p>
    <w:p>
      <w:pPr>
        <w:spacing w:before="120" w:after="120"/>
        <w:ind w:right="57"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>Таблица 59.</w:t>
      </w:r>
      <w:r>
        <w:rPr>
          <w:spacing w:val="-4"/>
          <w:sz w:val="24"/>
          <w:szCs w:val="24"/>
        </w:rPr>
        <w:t xml:space="preserve"> Расходы УМСП ФКиС в разрезе МП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6"/>
        <w:gridCol w:w="4961"/>
        <w:gridCol w:w="1417"/>
        <w:gridCol w:w="1276"/>
        <w:gridCol w:w="1276"/>
      </w:tblGrid>
      <w:tr>
        <w:trPr>
          <w:cantSplit/>
          <w:trHeight w:val="960"/>
        </w:trPr>
        <w:tc>
          <w:tcPr>
            <w:tcW w:w="426" w:type="dxa"/>
            <w:shd w:val="clear" w:color="auto" w:fill="auto"/>
            <w:noWrap/>
            <w:textDirection w:val="btLr"/>
            <w:vAlign w:val="center"/>
          </w:tcPr>
          <w:p>
            <w:pPr>
              <w:ind w:left="-57" w:right="-57"/>
              <w:jc w:val="center"/>
            </w:pPr>
            <w:r>
              <w:rPr>
                <w:lang w:val="en-US"/>
              </w:rPr>
              <w:t xml:space="preserve">№ </w:t>
            </w:r>
            <w:r>
              <w:t>п/п</w:t>
            </w:r>
          </w:p>
        </w:tc>
        <w:tc>
          <w:tcPr>
            <w:tcW w:w="4961" w:type="dxa"/>
            <w:shd w:val="clear" w:color="auto" w:fill="auto"/>
            <w:vAlign w:val="center"/>
          </w:tcPr>
          <w:p>
            <w:pPr>
              <w:jc w:val="center"/>
            </w:pPr>
            <w:r>
              <w:t>Наименование программы</w:t>
            </w:r>
          </w:p>
        </w:tc>
        <w:tc>
          <w:tcPr>
            <w:tcW w:w="1417" w:type="dxa"/>
            <w:shd w:val="clear" w:color="000000" w:fill="FFFFFF"/>
            <w:vAlign w:val="center"/>
          </w:tcPr>
          <w:p>
            <w:pPr>
              <w:jc w:val="center"/>
            </w:pPr>
            <w:r>
              <w:t>Уточненный план</w:t>
            </w:r>
            <w:r>
              <w:br/>
              <w:t>2019 г., тыс.руб.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ind w:right="-42"/>
              <w:jc w:val="center"/>
            </w:pPr>
            <w:r>
              <w:t xml:space="preserve">Исполнено </w:t>
            </w:r>
          </w:p>
          <w:p>
            <w:pPr>
              <w:ind w:right="-42"/>
              <w:jc w:val="center"/>
            </w:pPr>
            <w:r>
              <w:t>за 2019 г., тыс</w:t>
            </w:r>
            <w:proofErr w:type="gramStart"/>
            <w:r>
              <w:t>.р</w:t>
            </w:r>
            <w:proofErr w:type="gramEnd"/>
            <w:r>
              <w:t>уб.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jc w:val="center"/>
            </w:pPr>
            <w:r>
              <w:t xml:space="preserve">Процент исполнения </w:t>
            </w:r>
          </w:p>
          <w:p>
            <w:pPr>
              <w:jc w:val="center"/>
            </w:pPr>
            <w:r>
              <w:t>к плану</w:t>
            </w:r>
            <w:r>
              <w:br/>
              <w:t xml:space="preserve"> 2019 г.</w:t>
            </w:r>
          </w:p>
        </w:tc>
      </w:tr>
      <w:tr>
        <w:trPr>
          <w:trHeight w:val="406"/>
        </w:trPr>
        <w:tc>
          <w:tcPr>
            <w:tcW w:w="426" w:type="dxa"/>
            <w:shd w:val="clear" w:color="auto" w:fill="auto"/>
            <w:noWrap/>
            <w:vAlign w:val="center"/>
          </w:tcPr>
          <w:p>
            <w:pPr>
              <w:jc w:val="center"/>
            </w:pPr>
            <w:r>
              <w:t>2</w:t>
            </w:r>
          </w:p>
        </w:tc>
        <w:tc>
          <w:tcPr>
            <w:tcW w:w="4961" w:type="dxa"/>
            <w:shd w:val="clear" w:color="auto" w:fill="auto"/>
            <w:vAlign w:val="center"/>
          </w:tcPr>
          <w:p>
            <w:r>
              <w:t xml:space="preserve">МП «Молодежная политика в ЗАТО Северск» 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>
            <w:pPr>
              <w:jc w:val="right"/>
            </w:pPr>
            <w:r>
              <w:t>461,33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>
            <w:pPr>
              <w:jc w:val="right"/>
            </w:pPr>
            <w:r>
              <w:t>454,47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>
            <w:pPr>
              <w:jc w:val="center"/>
            </w:pPr>
            <w:r>
              <w:t>98,5</w:t>
            </w:r>
          </w:p>
        </w:tc>
      </w:tr>
    </w:tbl>
    <w:p>
      <w:pPr>
        <w:spacing w:before="120" w:after="120"/>
        <w:ind w:right="57" w:firstLine="709"/>
        <w:jc w:val="both"/>
        <w:rPr>
          <w:sz w:val="24"/>
          <w:szCs w:val="24"/>
        </w:rPr>
      </w:pPr>
      <w:r>
        <w:rPr>
          <w:sz w:val="24"/>
          <w:szCs w:val="24"/>
        </w:rPr>
        <w:t>Таблица 60. Расходы УМСП ФКиС по разделам за 2019 год</w:t>
      </w:r>
    </w:p>
    <w:tbl>
      <w:tblPr>
        <w:tblW w:w="9395" w:type="dxa"/>
        <w:jc w:val="center"/>
        <w:tblLayout w:type="fixed"/>
        <w:tblLook w:val="04A0"/>
      </w:tblPr>
      <w:tblGrid>
        <w:gridCol w:w="1135"/>
        <w:gridCol w:w="4131"/>
        <w:gridCol w:w="1559"/>
        <w:gridCol w:w="1291"/>
        <w:gridCol w:w="1279"/>
      </w:tblGrid>
      <w:tr>
        <w:trPr>
          <w:trHeight w:val="984"/>
          <w:jc w:val="center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>
            <w:pPr>
              <w:jc w:val="center"/>
            </w:pPr>
            <w:r>
              <w:t>Раздел, подраздел</w:t>
            </w:r>
          </w:p>
        </w:tc>
        <w:tc>
          <w:tcPr>
            <w:tcW w:w="413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</w:pPr>
            <w:r>
              <w:t>Наименование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</w:pPr>
            <w:r>
              <w:t>Уточненный план</w:t>
            </w:r>
            <w:r>
              <w:br/>
              <w:t>2019 г., тыс.руб.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right="-42"/>
              <w:jc w:val="center"/>
            </w:pPr>
            <w:r>
              <w:t xml:space="preserve">Исполнено </w:t>
            </w:r>
          </w:p>
          <w:p>
            <w:pPr>
              <w:ind w:right="-42"/>
              <w:jc w:val="center"/>
            </w:pPr>
            <w:r>
              <w:t>за 2019 г., тыс</w:t>
            </w:r>
            <w:proofErr w:type="gramStart"/>
            <w:r>
              <w:t>.р</w:t>
            </w:r>
            <w:proofErr w:type="gramEnd"/>
            <w:r>
              <w:t>уб.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t xml:space="preserve">Процент исполнения </w:t>
            </w:r>
          </w:p>
          <w:p>
            <w:pPr>
              <w:jc w:val="center"/>
            </w:pPr>
            <w:r>
              <w:t>к плану</w:t>
            </w:r>
            <w:r>
              <w:br/>
              <w:t xml:space="preserve"> 2019 г.</w:t>
            </w:r>
          </w:p>
        </w:tc>
      </w:tr>
      <w:tr>
        <w:trPr>
          <w:trHeight w:val="321"/>
          <w:jc w:val="center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center"/>
            </w:pPr>
          </w:p>
        </w:tc>
        <w:tc>
          <w:tcPr>
            <w:tcW w:w="4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r>
              <w:t>УМСП ФКиС: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right"/>
            </w:pPr>
            <w:r>
              <w:t>461,33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right"/>
            </w:pPr>
            <w:r>
              <w:t>454,47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t>98,5</w:t>
            </w:r>
          </w:p>
        </w:tc>
      </w:tr>
      <w:tr>
        <w:trPr>
          <w:trHeight w:val="254"/>
          <w:jc w:val="center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center"/>
            </w:pPr>
            <w:r>
              <w:t>0700</w:t>
            </w:r>
          </w:p>
        </w:tc>
        <w:tc>
          <w:tcPr>
            <w:tcW w:w="4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r>
              <w:t>Образование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right"/>
            </w:pPr>
            <w:r>
              <w:t>461,33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right"/>
            </w:pPr>
            <w:r>
              <w:t>454,47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t>98,5</w:t>
            </w:r>
          </w:p>
        </w:tc>
      </w:tr>
    </w:tbl>
    <w:p>
      <w:pPr>
        <w:pStyle w:val="31"/>
        <w:spacing w:after="120"/>
        <w:ind w:right="0"/>
        <w:jc w:val="center"/>
        <w:rPr>
          <w:b/>
          <w:sz w:val="24"/>
          <w:szCs w:val="24"/>
        </w:rPr>
      </w:pPr>
    </w:p>
    <w:p>
      <w:pPr>
        <w:pStyle w:val="31"/>
        <w:spacing w:after="120"/>
        <w:ind w:right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4.2.7. Управление по делам защиты населения и территорий от чрезвычайных ситуаций Администрации ЗАТО Северск</w:t>
      </w:r>
    </w:p>
    <w:p>
      <w:pPr>
        <w:pStyle w:val="31"/>
        <w:ind w:right="0" w:firstLine="709"/>
        <w:rPr>
          <w:sz w:val="24"/>
          <w:szCs w:val="24"/>
        </w:rPr>
      </w:pPr>
      <w:r>
        <w:rPr>
          <w:sz w:val="24"/>
          <w:szCs w:val="24"/>
        </w:rPr>
        <w:t>Кассовое исполнение расходов за 2019 год составило 25 363,4 тыс.руб. или 99,5% к утвержденным годовым назначениям.</w:t>
      </w:r>
    </w:p>
    <w:p>
      <w:pPr>
        <w:pStyle w:val="31"/>
        <w:ind w:right="0" w:firstLine="709"/>
        <w:rPr>
          <w:sz w:val="24"/>
          <w:szCs w:val="24"/>
        </w:rPr>
      </w:pPr>
      <w:r>
        <w:rPr>
          <w:sz w:val="24"/>
          <w:szCs w:val="24"/>
        </w:rPr>
        <w:t xml:space="preserve">В общей структуре расходов удельный вес расходов, подведомственных Управлению ЧС, составил 0,6%. </w:t>
      </w:r>
    </w:p>
    <w:p>
      <w:pPr>
        <w:pStyle w:val="31"/>
        <w:ind w:right="0" w:firstLine="709"/>
        <w:rPr>
          <w:sz w:val="24"/>
          <w:szCs w:val="24"/>
        </w:rPr>
      </w:pPr>
      <w:r>
        <w:rPr>
          <w:sz w:val="24"/>
          <w:szCs w:val="24"/>
        </w:rPr>
        <w:t>Управление ЧС является ответственным исполнителем муниципальной программы «</w:t>
      </w:r>
      <w:r>
        <w:rPr>
          <w:bCs/>
          <w:sz w:val="24"/>
          <w:szCs w:val="24"/>
        </w:rPr>
        <w:t xml:space="preserve">Обеспечение безопасности населения на территории ЗАТО Северск» на 2015 - 2020 годы, которая </w:t>
      </w:r>
      <w:r>
        <w:rPr>
          <w:sz w:val="24"/>
          <w:szCs w:val="24"/>
        </w:rPr>
        <w:t xml:space="preserve">за 2019 год </w:t>
      </w:r>
      <w:r>
        <w:rPr>
          <w:spacing w:val="-4"/>
          <w:sz w:val="24"/>
          <w:szCs w:val="24"/>
        </w:rPr>
        <w:t>исполнена управлением в общей сумме 25 363,4 тыс.руб. или 99,5</w:t>
      </w:r>
      <w:r>
        <w:rPr>
          <w:sz w:val="24"/>
          <w:szCs w:val="24"/>
        </w:rPr>
        <w:t xml:space="preserve">% к утвержденным годовым назначениям. </w:t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разрезе разделов исполнение расходов осуществлялось по одному направлению: «Национальная безопасность и правоохранительная деятельность» на общую сумму </w:t>
      </w:r>
      <w:r>
        <w:rPr>
          <w:spacing w:val="-4"/>
          <w:sz w:val="24"/>
          <w:szCs w:val="24"/>
        </w:rPr>
        <w:t xml:space="preserve">25 363,4 </w:t>
      </w:r>
      <w:r>
        <w:rPr>
          <w:sz w:val="24"/>
          <w:szCs w:val="24"/>
        </w:rPr>
        <w:t>тыс.руб. или 99,5% к утвержденным годовым назначениям.</w:t>
      </w:r>
    </w:p>
    <w:p>
      <w:pPr>
        <w:pStyle w:val="3"/>
        <w:spacing w:before="0" w:after="120"/>
        <w:jc w:val="center"/>
        <w:rPr>
          <w:rFonts w:ascii="Times New Roman" w:hAnsi="Times New Roman" w:cs="Times New Roman"/>
          <w:sz w:val="24"/>
          <w:szCs w:val="24"/>
        </w:rPr>
      </w:pPr>
    </w:p>
    <w:p>
      <w:pPr>
        <w:pStyle w:val="3"/>
        <w:spacing w:before="0" w:after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4.2.8. Управление образования Администрации ЗАТО Северск</w:t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Кассовое исполнение расходов за 2019 год составило 2 145 871,87 тыс.руб. или 99,8% к утвержденным годовым назначениям.</w:t>
      </w:r>
    </w:p>
    <w:p>
      <w:pPr>
        <w:pStyle w:val="31"/>
        <w:ind w:right="0" w:firstLine="709"/>
        <w:rPr>
          <w:sz w:val="24"/>
          <w:szCs w:val="24"/>
        </w:rPr>
      </w:pPr>
      <w:r>
        <w:rPr>
          <w:sz w:val="24"/>
          <w:szCs w:val="24"/>
        </w:rPr>
        <w:t xml:space="preserve">В общей структуре расходов удельный вес расходов, подведомственных Управлению образования, составил 46,6%. </w:t>
      </w:r>
    </w:p>
    <w:p>
      <w:pPr>
        <w:ind w:firstLine="708"/>
        <w:jc w:val="both"/>
        <w:rPr>
          <w:i/>
          <w:spacing w:val="-4"/>
          <w:sz w:val="6"/>
          <w:szCs w:val="6"/>
        </w:rPr>
      </w:pPr>
      <w:r>
        <w:rPr>
          <w:sz w:val="24"/>
          <w:szCs w:val="24"/>
        </w:rPr>
        <w:t>Управление образования является ответственным исполнителем муниципальной программы «Развитие образования в ЗАТО Северск» и участником четырех муниципальных программ.</w:t>
      </w:r>
      <w:r>
        <w:rPr>
          <w:bCs/>
          <w:sz w:val="24"/>
          <w:szCs w:val="24"/>
        </w:rPr>
        <w:t xml:space="preserve"> Расходы по ним исполнены </w:t>
      </w:r>
      <w:r>
        <w:rPr>
          <w:sz w:val="24"/>
          <w:szCs w:val="24"/>
        </w:rPr>
        <w:t xml:space="preserve">в сумме 2 145 075,08 </w:t>
      </w:r>
      <w:r>
        <w:rPr>
          <w:spacing w:val="-4"/>
          <w:sz w:val="24"/>
          <w:szCs w:val="24"/>
        </w:rPr>
        <w:t>тыс.руб. или 99,7</w:t>
      </w:r>
      <w:r>
        <w:rPr>
          <w:sz w:val="24"/>
          <w:szCs w:val="24"/>
        </w:rPr>
        <w:t>% к утвержденным годовым назначениям.</w:t>
      </w:r>
      <w:r>
        <w:rPr>
          <w:i/>
          <w:spacing w:val="-4"/>
          <w:sz w:val="6"/>
          <w:szCs w:val="6"/>
        </w:rPr>
        <w:t xml:space="preserve"> </w:t>
      </w:r>
    </w:p>
    <w:p>
      <w:pPr>
        <w:ind w:firstLine="708"/>
        <w:jc w:val="both"/>
        <w:rPr>
          <w:i/>
          <w:spacing w:val="-4"/>
          <w:sz w:val="6"/>
          <w:szCs w:val="6"/>
        </w:rPr>
      </w:pPr>
    </w:p>
    <w:p>
      <w:pPr>
        <w:spacing w:after="60"/>
        <w:ind w:firstLine="709"/>
        <w:jc w:val="both"/>
        <w:rPr>
          <w:spacing w:val="-4"/>
          <w:sz w:val="24"/>
          <w:szCs w:val="24"/>
        </w:rPr>
      </w:pPr>
    </w:p>
    <w:p>
      <w:pPr>
        <w:spacing w:after="120"/>
        <w:ind w:firstLine="709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lastRenderedPageBreak/>
        <w:t xml:space="preserve">Таблица 48. Расходы Управления образования в разрезе МП 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6"/>
        <w:gridCol w:w="4819"/>
        <w:gridCol w:w="1418"/>
        <w:gridCol w:w="1417"/>
        <w:gridCol w:w="1276"/>
      </w:tblGrid>
      <w:tr>
        <w:trPr>
          <w:cantSplit/>
          <w:trHeight w:val="989"/>
        </w:trPr>
        <w:tc>
          <w:tcPr>
            <w:tcW w:w="426" w:type="dxa"/>
            <w:textDirection w:val="btLr"/>
            <w:vAlign w:val="center"/>
          </w:tcPr>
          <w:p>
            <w:pPr>
              <w:ind w:left="-57" w:right="-57"/>
              <w:jc w:val="center"/>
              <w:rPr>
                <w:bCs/>
              </w:rPr>
            </w:pPr>
            <w:r>
              <w:t>№ п/п</w:t>
            </w:r>
          </w:p>
        </w:tc>
        <w:tc>
          <w:tcPr>
            <w:tcW w:w="4819" w:type="dxa"/>
            <w:vAlign w:val="center"/>
          </w:tcPr>
          <w:p>
            <w:pPr>
              <w:ind w:right="55"/>
              <w:jc w:val="center"/>
              <w:rPr>
                <w:bCs/>
              </w:rPr>
            </w:pPr>
            <w:r>
              <w:t>Наименование программы</w:t>
            </w:r>
          </w:p>
        </w:tc>
        <w:tc>
          <w:tcPr>
            <w:tcW w:w="1418" w:type="dxa"/>
            <w:vAlign w:val="center"/>
          </w:tcPr>
          <w:p>
            <w:pPr>
              <w:jc w:val="center"/>
            </w:pPr>
            <w:r>
              <w:t>Уточненный план</w:t>
            </w:r>
            <w:r>
              <w:br/>
              <w:t>2019 г., тыс.руб.</w:t>
            </w:r>
          </w:p>
        </w:tc>
        <w:tc>
          <w:tcPr>
            <w:tcW w:w="1417" w:type="dxa"/>
            <w:vAlign w:val="center"/>
          </w:tcPr>
          <w:p>
            <w:pPr>
              <w:ind w:right="-42"/>
              <w:jc w:val="center"/>
            </w:pPr>
            <w:r>
              <w:t xml:space="preserve">Исполнено </w:t>
            </w:r>
          </w:p>
          <w:p>
            <w:pPr>
              <w:ind w:right="-42"/>
              <w:jc w:val="center"/>
            </w:pPr>
            <w:r>
              <w:t>за 2019 г., тыс</w:t>
            </w:r>
            <w:proofErr w:type="gramStart"/>
            <w:r>
              <w:t>.р</w:t>
            </w:r>
            <w:proofErr w:type="gramEnd"/>
            <w:r>
              <w:t>уб.</w:t>
            </w:r>
          </w:p>
        </w:tc>
        <w:tc>
          <w:tcPr>
            <w:tcW w:w="1276" w:type="dxa"/>
            <w:vAlign w:val="center"/>
          </w:tcPr>
          <w:p>
            <w:pPr>
              <w:jc w:val="center"/>
            </w:pPr>
            <w:r>
              <w:t xml:space="preserve">Процент исполнения </w:t>
            </w:r>
          </w:p>
          <w:p>
            <w:pPr>
              <w:jc w:val="center"/>
              <w:rPr>
                <w:highlight w:val="yellow"/>
              </w:rPr>
            </w:pPr>
            <w:r>
              <w:t>к плану</w:t>
            </w:r>
            <w:r>
              <w:br/>
              <w:t xml:space="preserve"> 2019 г.</w:t>
            </w:r>
          </w:p>
        </w:tc>
      </w:tr>
      <w:tr>
        <w:trPr>
          <w:trHeight w:val="354"/>
        </w:trPr>
        <w:tc>
          <w:tcPr>
            <w:tcW w:w="426" w:type="dxa"/>
            <w:vAlign w:val="center"/>
          </w:tcPr>
          <w:p>
            <w:pPr>
              <w:jc w:val="center"/>
            </w:pPr>
            <w:r>
              <w:t>1</w:t>
            </w:r>
          </w:p>
        </w:tc>
        <w:tc>
          <w:tcPr>
            <w:tcW w:w="4819" w:type="dxa"/>
            <w:vAlign w:val="center"/>
          </w:tcPr>
          <w:p>
            <w:r>
              <w:t>МП «Развитие образования в ЗАТО Северск»</w:t>
            </w:r>
          </w:p>
        </w:tc>
        <w:tc>
          <w:tcPr>
            <w:tcW w:w="1418" w:type="dxa"/>
            <w:vAlign w:val="center"/>
          </w:tcPr>
          <w:p>
            <w:pPr>
              <w:jc w:val="right"/>
              <w:rPr>
                <w:sz w:val="24"/>
                <w:szCs w:val="24"/>
              </w:rPr>
            </w:pPr>
            <w:r>
              <w:t>2 132 409,68</w:t>
            </w:r>
          </w:p>
        </w:tc>
        <w:tc>
          <w:tcPr>
            <w:tcW w:w="1417" w:type="dxa"/>
            <w:vAlign w:val="center"/>
          </w:tcPr>
          <w:p>
            <w:pPr>
              <w:jc w:val="right"/>
              <w:rPr>
                <w:sz w:val="24"/>
                <w:szCs w:val="24"/>
              </w:rPr>
            </w:pPr>
            <w:r>
              <w:t>2 127 234,51</w:t>
            </w:r>
          </w:p>
        </w:tc>
        <w:tc>
          <w:tcPr>
            <w:tcW w:w="1276" w:type="dxa"/>
            <w:vAlign w:val="center"/>
          </w:tcPr>
          <w:p>
            <w:pPr>
              <w:jc w:val="right"/>
            </w:pPr>
            <w:r>
              <w:t>99,8</w:t>
            </w:r>
          </w:p>
        </w:tc>
      </w:tr>
      <w:tr>
        <w:trPr>
          <w:trHeight w:val="417"/>
        </w:trPr>
        <w:tc>
          <w:tcPr>
            <w:tcW w:w="426" w:type="dxa"/>
            <w:vAlign w:val="center"/>
          </w:tcPr>
          <w:p>
            <w:pPr>
              <w:jc w:val="center"/>
            </w:pPr>
            <w:r>
              <w:t>2</w:t>
            </w:r>
          </w:p>
        </w:tc>
        <w:tc>
          <w:tcPr>
            <w:tcW w:w="4819" w:type="dxa"/>
            <w:vAlign w:val="center"/>
          </w:tcPr>
          <w:p>
            <w:r>
              <w:t>МП «Молодежная политика в ЗАТО Северск»</w:t>
            </w:r>
          </w:p>
        </w:tc>
        <w:tc>
          <w:tcPr>
            <w:tcW w:w="1418" w:type="dxa"/>
            <w:vAlign w:val="center"/>
          </w:tcPr>
          <w:p>
            <w:pPr>
              <w:jc w:val="right"/>
              <w:rPr>
                <w:sz w:val="24"/>
                <w:szCs w:val="24"/>
              </w:rPr>
            </w:pPr>
            <w:r>
              <w:t>3 960,18</w:t>
            </w:r>
          </w:p>
        </w:tc>
        <w:tc>
          <w:tcPr>
            <w:tcW w:w="1417" w:type="dxa"/>
            <w:vAlign w:val="center"/>
          </w:tcPr>
          <w:p>
            <w:pPr>
              <w:jc w:val="right"/>
              <w:rPr>
                <w:sz w:val="24"/>
                <w:szCs w:val="24"/>
              </w:rPr>
            </w:pPr>
            <w:r>
              <w:t>3 960,18</w:t>
            </w:r>
          </w:p>
        </w:tc>
        <w:tc>
          <w:tcPr>
            <w:tcW w:w="1276" w:type="dxa"/>
            <w:vAlign w:val="center"/>
          </w:tcPr>
          <w:p>
            <w:pPr>
              <w:jc w:val="right"/>
            </w:pPr>
            <w:r>
              <w:t>100,0</w:t>
            </w:r>
          </w:p>
        </w:tc>
      </w:tr>
      <w:tr>
        <w:trPr>
          <w:trHeight w:val="548"/>
        </w:trPr>
        <w:tc>
          <w:tcPr>
            <w:tcW w:w="426" w:type="dxa"/>
            <w:vAlign w:val="center"/>
          </w:tcPr>
          <w:p>
            <w:pPr>
              <w:jc w:val="center"/>
            </w:pPr>
            <w:r>
              <w:t>3</w:t>
            </w:r>
          </w:p>
        </w:tc>
        <w:tc>
          <w:tcPr>
            <w:tcW w:w="4819" w:type="dxa"/>
            <w:vAlign w:val="center"/>
          </w:tcPr>
          <w:p>
            <w:r>
              <w:t xml:space="preserve">МП «Обеспечение безопасности населения на территории ЗАТО Северск» </w:t>
            </w:r>
          </w:p>
        </w:tc>
        <w:tc>
          <w:tcPr>
            <w:tcW w:w="1418" w:type="dxa"/>
            <w:vAlign w:val="center"/>
          </w:tcPr>
          <w:p>
            <w:pPr>
              <w:jc w:val="right"/>
              <w:rPr>
                <w:sz w:val="24"/>
                <w:szCs w:val="24"/>
              </w:rPr>
            </w:pPr>
            <w:r>
              <w:t>9 382,15</w:t>
            </w:r>
          </w:p>
        </w:tc>
        <w:tc>
          <w:tcPr>
            <w:tcW w:w="1417" w:type="dxa"/>
            <w:vAlign w:val="center"/>
          </w:tcPr>
          <w:p>
            <w:pPr>
              <w:jc w:val="right"/>
              <w:rPr>
                <w:sz w:val="24"/>
                <w:szCs w:val="24"/>
              </w:rPr>
            </w:pPr>
            <w:r>
              <w:t>9 381,99</w:t>
            </w:r>
          </w:p>
        </w:tc>
        <w:tc>
          <w:tcPr>
            <w:tcW w:w="1276" w:type="dxa"/>
            <w:vAlign w:val="center"/>
          </w:tcPr>
          <w:p>
            <w:pPr>
              <w:jc w:val="right"/>
            </w:pPr>
            <w:r>
              <w:t>99,9</w:t>
            </w:r>
          </w:p>
        </w:tc>
      </w:tr>
      <w:tr>
        <w:trPr>
          <w:trHeight w:val="402"/>
        </w:trPr>
        <w:tc>
          <w:tcPr>
            <w:tcW w:w="426" w:type="dxa"/>
            <w:vAlign w:val="center"/>
          </w:tcPr>
          <w:p>
            <w:pPr>
              <w:jc w:val="center"/>
            </w:pPr>
            <w:r>
              <w:t>4</w:t>
            </w:r>
          </w:p>
        </w:tc>
        <w:tc>
          <w:tcPr>
            <w:tcW w:w="4819" w:type="dxa"/>
            <w:vAlign w:val="center"/>
          </w:tcPr>
          <w:p>
            <w:r>
              <w:t>МП «Охрана окружающей среды на территории ЗАТО Северск»</w:t>
            </w:r>
          </w:p>
        </w:tc>
        <w:tc>
          <w:tcPr>
            <w:tcW w:w="1418" w:type="dxa"/>
            <w:vAlign w:val="center"/>
          </w:tcPr>
          <w:p>
            <w:pPr>
              <w:jc w:val="right"/>
              <w:rPr>
                <w:sz w:val="24"/>
                <w:szCs w:val="24"/>
              </w:rPr>
            </w:pPr>
            <w:r>
              <w:t>89,17</w:t>
            </w:r>
          </w:p>
        </w:tc>
        <w:tc>
          <w:tcPr>
            <w:tcW w:w="1417" w:type="dxa"/>
            <w:vAlign w:val="center"/>
          </w:tcPr>
          <w:p>
            <w:pPr>
              <w:jc w:val="right"/>
              <w:rPr>
                <w:sz w:val="24"/>
                <w:szCs w:val="24"/>
              </w:rPr>
            </w:pPr>
            <w:r>
              <w:t>89,17</w:t>
            </w:r>
          </w:p>
        </w:tc>
        <w:tc>
          <w:tcPr>
            <w:tcW w:w="1276" w:type="dxa"/>
            <w:vAlign w:val="center"/>
          </w:tcPr>
          <w:p>
            <w:pPr>
              <w:jc w:val="right"/>
            </w:pPr>
            <w:r>
              <w:t>100,0</w:t>
            </w:r>
          </w:p>
        </w:tc>
      </w:tr>
      <w:tr>
        <w:trPr>
          <w:trHeight w:val="311"/>
        </w:trPr>
        <w:tc>
          <w:tcPr>
            <w:tcW w:w="426" w:type="dxa"/>
            <w:vAlign w:val="center"/>
          </w:tcPr>
          <w:p>
            <w:pPr>
              <w:jc w:val="center"/>
            </w:pPr>
            <w:r>
              <w:t>5</w:t>
            </w:r>
          </w:p>
        </w:tc>
        <w:tc>
          <w:tcPr>
            <w:tcW w:w="4819" w:type="dxa"/>
            <w:vAlign w:val="center"/>
          </w:tcPr>
          <w:p>
            <w:r>
              <w:t>МП</w:t>
            </w:r>
            <w:r>
              <w:rPr>
                <w:spacing w:val="-4"/>
              </w:rPr>
              <w:t xml:space="preserve"> «Профилактика алкоголизма, наркомании, токсикомании и ВИЧ-инфекции»</w:t>
            </w:r>
          </w:p>
        </w:tc>
        <w:tc>
          <w:tcPr>
            <w:tcW w:w="1418" w:type="dxa"/>
            <w:vAlign w:val="center"/>
          </w:tcPr>
          <w:p>
            <w:pPr>
              <w:jc w:val="right"/>
              <w:rPr>
                <w:sz w:val="24"/>
                <w:szCs w:val="24"/>
              </w:rPr>
            </w:pPr>
            <w:r>
              <w:t>1 409,23</w:t>
            </w:r>
          </w:p>
        </w:tc>
        <w:tc>
          <w:tcPr>
            <w:tcW w:w="1417" w:type="dxa"/>
            <w:vAlign w:val="center"/>
          </w:tcPr>
          <w:p>
            <w:pPr>
              <w:jc w:val="right"/>
              <w:rPr>
                <w:sz w:val="24"/>
                <w:szCs w:val="24"/>
              </w:rPr>
            </w:pPr>
            <w:r>
              <w:t>1 409,23</w:t>
            </w:r>
          </w:p>
        </w:tc>
        <w:tc>
          <w:tcPr>
            <w:tcW w:w="1276" w:type="dxa"/>
            <w:vAlign w:val="center"/>
          </w:tcPr>
          <w:p>
            <w:pPr>
              <w:jc w:val="right"/>
              <w:rPr>
                <w:highlight w:val="yellow"/>
              </w:rPr>
            </w:pPr>
            <w:r>
              <w:t>100,0</w:t>
            </w:r>
          </w:p>
        </w:tc>
      </w:tr>
    </w:tbl>
    <w:p>
      <w:pPr>
        <w:jc w:val="both"/>
        <w:rPr>
          <w:sz w:val="16"/>
          <w:szCs w:val="16"/>
          <w:highlight w:val="yellow"/>
        </w:rPr>
      </w:pPr>
    </w:p>
    <w:p>
      <w:pPr>
        <w:pStyle w:val="31"/>
        <w:ind w:right="-2" w:firstLine="709"/>
        <w:rPr>
          <w:spacing w:val="-4"/>
          <w:sz w:val="24"/>
          <w:szCs w:val="24"/>
        </w:rPr>
      </w:pPr>
      <w:r>
        <w:rPr>
          <w:sz w:val="24"/>
          <w:szCs w:val="24"/>
        </w:rPr>
        <w:t xml:space="preserve">Управлением образования за 2019 год </w:t>
      </w:r>
      <w:r>
        <w:rPr>
          <w:spacing w:val="-4"/>
          <w:sz w:val="24"/>
          <w:szCs w:val="24"/>
        </w:rPr>
        <w:t>исполнены непрограммные мероприятия на сумму 3 796,79 тыс.руб.:</w:t>
      </w:r>
    </w:p>
    <w:p>
      <w:pPr>
        <w:pStyle w:val="31"/>
        <w:ind w:right="-2" w:firstLine="709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-  1 378,58 тыс.руб. за счет средств областного бюджета (резервный фонд ФНР Администрации Томской области).</w:t>
      </w:r>
    </w:p>
    <w:p>
      <w:pPr>
        <w:pStyle w:val="31"/>
        <w:ind w:right="-2" w:firstLine="709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- 2 418,21 тыс.руб. за счет средств местного бюджета (расходы в связи с ликвидацией муниципального учреждения).</w:t>
      </w:r>
    </w:p>
    <w:p>
      <w:pPr>
        <w:pStyle w:val="31"/>
        <w:ind w:right="0"/>
        <w:rPr>
          <w:b/>
          <w:sz w:val="24"/>
          <w:szCs w:val="24"/>
          <w:highlight w:val="yellow"/>
        </w:rPr>
      </w:pPr>
    </w:p>
    <w:p>
      <w:pPr>
        <w:pStyle w:val="31"/>
        <w:spacing w:after="120"/>
        <w:ind w:left="567" w:right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4.2.9. Управление имущественных отношений Администрации ЗАТО Северск</w:t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Кассовое исполнение расходов за 2019 год составило 100 348,18 тыс.руб. или 98,5% к утвержденным годовым назначениям.</w:t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общей структуре расходов удельный вес расходов, подведомственных Управлению имущественных отношений, составил 2,2%. </w:t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Управление имущественных отношений является ответственным исполнителем муниципальной программы «Эффективное управление муниципальным имуществом ЗАТО Северск» и участником четырех муниципальных программ, расходы по ним исполнены </w:t>
      </w:r>
      <w:r>
        <w:rPr>
          <w:spacing w:val="-4"/>
          <w:sz w:val="24"/>
          <w:szCs w:val="24"/>
        </w:rPr>
        <w:t>на общую сумму 98 062,88 тыс.руб. или 98,5</w:t>
      </w:r>
      <w:r>
        <w:rPr>
          <w:sz w:val="24"/>
          <w:szCs w:val="24"/>
        </w:rPr>
        <w:t>% к утвержденным годовым назначениям.</w:t>
      </w:r>
    </w:p>
    <w:p>
      <w:pPr>
        <w:ind w:firstLine="709"/>
        <w:jc w:val="both"/>
        <w:rPr>
          <w:spacing w:val="-4"/>
          <w:sz w:val="10"/>
          <w:szCs w:val="10"/>
          <w:highlight w:val="yellow"/>
        </w:rPr>
      </w:pPr>
    </w:p>
    <w:p>
      <w:pPr>
        <w:spacing w:after="120"/>
        <w:ind w:firstLine="709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Таблица 49. Расходы Управления имущественных отношений в разрезе МП</w:t>
      </w:r>
    </w:p>
    <w:tbl>
      <w:tblPr>
        <w:tblW w:w="937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41"/>
        <w:gridCol w:w="4677"/>
        <w:gridCol w:w="1560"/>
        <w:gridCol w:w="1275"/>
        <w:gridCol w:w="1418"/>
      </w:tblGrid>
      <w:tr>
        <w:trPr>
          <w:trHeight w:val="840"/>
        </w:trPr>
        <w:tc>
          <w:tcPr>
            <w:tcW w:w="441" w:type="dxa"/>
            <w:shd w:val="clear" w:color="auto" w:fill="auto"/>
            <w:textDirection w:val="btLr"/>
            <w:vAlign w:val="center"/>
          </w:tcPr>
          <w:p>
            <w:pPr>
              <w:jc w:val="center"/>
            </w:pPr>
          </w:p>
          <w:p>
            <w:pPr>
              <w:jc w:val="center"/>
            </w:pPr>
            <w:r>
              <w:rPr>
                <w:lang w:val="en-US"/>
              </w:rPr>
              <w:t xml:space="preserve">№ </w:t>
            </w:r>
            <w:r>
              <w:t>п/п</w:t>
            </w:r>
          </w:p>
          <w:p>
            <w:pPr>
              <w:jc w:val="center"/>
            </w:pPr>
          </w:p>
        </w:tc>
        <w:tc>
          <w:tcPr>
            <w:tcW w:w="4677" w:type="dxa"/>
            <w:shd w:val="clear" w:color="auto" w:fill="auto"/>
            <w:vAlign w:val="center"/>
          </w:tcPr>
          <w:p>
            <w:pPr>
              <w:jc w:val="center"/>
            </w:pPr>
            <w:r>
              <w:t xml:space="preserve">Наименование программы </w:t>
            </w:r>
          </w:p>
        </w:tc>
        <w:tc>
          <w:tcPr>
            <w:tcW w:w="1560" w:type="dxa"/>
            <w:shd w:val="clear" w:color="auto" w:fill="auto"/>
            <w:vAlign w:val="center"/>
          </w:tcPr>
          <w:p>
            <w:pPr>
              <w:jc w:val="center"/>
            </w:pPr>
            <w:r>
              <w:t>Уточненный план 2019 г., тыс.руб.</w:t>
            </w:r>
          </w:p>
        </w:tc>
        <w:tc>
          <w:tcPr>
            <w:tcW w:w="1275" w:type="dxa"/>
            <w:shd w:val="clear" w:color="auto" w:fill="auto"/>
            <w:vAlign w:val="center"/>
          </w:tcPr>
          <w:p>
            <w:pPr>
              <w:ind w:right="-42"/>
              <w:jc w:val="center"/>
            </w:pPr>
            <w:r>
              <w:t xml:space="preserve">Исполнено </w:t>
            </w:r>
          </w:p>
          <w:p>
            <w:pPr>
              <w:ind w:right="-42"/>
              <w:jc w:val="center"/>
            </w:pPr>
            <w:r>
              <w:t>за 2019 г., тыс</w:t>
            </w:r>
            <w:proofErr w:type="gramStart"/>
            <w:r>
              <w:t>.р</w:t>
            </w:r>
            <w:proofErr w:type="gramEnd"/>
            <w:r>
              <w:t>уб.</w:t>
            </w:r>
          </w:p>
        </w:tc>
        <w:tc>
          <w:tcPr>
            <w:tcW w:w="1418" w:type="dxa"/>
            <w:shd w:val="clear" w:color="auto" w:fill="auto"/>
            <w:vAlign w:val="center"/>
          </w:tcPr>
          <w:p>
            <w:pPr>
              <w:jc w:val="center"/>
            </w:pPr>
            <w:r>
              <w:t xml:space="preserve">Процент исполнения </w:t>
            </w:r>
          </w:p>
          <w:p>
            <w:pPr>
              <w:jc w:val="center"/>
            </w:pPr>
            <w:r>
              <w:t>к плану</w:t>
            </w:r>
            <w:r>
              <w:br/>
              <w:t xml:space="preserve"> 2019 г.</w:t>
            </w:r>
          </w:p>
        </w:tc>
      </w:tr>
      <w:tr>
        <w:trPr>
          <w:trHeight w:val="476"/>
        </w:trPr>
        <w:tc>
          <w:tcPr>
            <w:tcW w:w="441" w:type="dxa"/>
            <w:shd w:val="clear" w:color="auto" w:fill="auto"/>
            <w:noWrap/>
            <w:vAlign w:val="center"/>
          </w:tcPr>
          <w:p>
            <w:pPr>
              <w:jc w:val="center"/>
            </w:pPr>
            <w:r>
              <w:t>1</w:t>
            </w:r>
          </w:p>
        </w:tc>
        <w:tc>
          <w:tcPr>
            <w:tcW w:w="4677" w:type="dxa"/>
            <w:shd w:val="clear" w:color="auto" w:fill="auto"/>
            <w:vAlign w:val="center"/>
          </w:tcPr>
          <w:p>
            <w:r>
              <w:t>МП «Эффективное управление муниципальным имуществом»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>
            <w:pPr>
              <w:jc w:val="right"/>
            </w:pPr>
            <w:r>
              <w:t>76 959,16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>
            <w:pPr>
              <w:jc w:val="right"/>
            </w:pPr>
            <w:r>
              <w:t>75 503,55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>
            <w:pPr>
              <w:jc w:val="center"/>
            </w:pPr>
            <w:r>
              <w:t>98,1</w:t>
            </w:r>
          </w:p>
        </w:tc>
      </w:tr>
      <w:tr>
        <w:trPr>
          <w:trHeight w:val="400"/>
        </w:trPr>
        <w:tc>
          <w:tcPr>
            <w:tcW w:w="441" w:type="dxa"/>
            <w:shd w:val="clear" w:color="auto" w:fill="auto"/>
            <w:noWrap/>
            <w:vAlign w:val="center"/>
          </w:tcPr>
          <w:p>
            <w:pPr>
              <w:jc w:val="center"/>
            </w:pPr>
            <w:r>
              <w:t>2</w:t>
            </w:r>
          </w:p>
        </w:tc>
        <w:tc>
          <w:tcPr>
            <w:tcW w:w="4677" w:type="dxa"/>
            <w:shd w:val="clear" w:color="auto" w:fill="auto"/>
            <w:vAlign w:val="center"/>
          </w:tcPr>
          <w:p>
            <w:r>
              <w:t xml:space="preserve">МП «Развитие образования в ЗАТО Северск» 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>
            <w:pPr>
              <w:jc w:val="right"/>
            </w:pPr>
            <w:r>
              <w:t>19 090,80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>
            <w:pPr>
              <w:jc w:val="right"/>
            </w:pPr>
            <w:r>
              <w:t>19 090,8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>
            <w:pPr>
              <w:jc w:val="center"/>
            </w:pPr>
            <w:r>
              <w:t>100,0</w:t>
            </w:r>
          </w:p>
        </w:tc>
      </w:tr>
      <w:tr>
        <w:trPr>
          <w:trHeight w:val="255"/>
        </w:trPr>
        <w:tc>
          <w:tcPr>
            <w:tcW w:w="441" w:type="dxa"/>
            <w:shd w:val="clear" w:color="auto" w:fill="auto"/>
            <w:noWrap/>
            <w:vAlign w:val="center"/>
          </w:tcPr>
          <w:p>
            <w:pPr>
              <w:jc w:val="center"/>
              <w:rPr>
                <w:highlight w:val="yellow"/>
              </w:rPr>
            </w:pPr>
            <w:r>
              <w:t>3</w:t>
            </w:r>
          </w:p>
        </w:tc>
        <w:tc>
          <w:tcPr>
            <w:tcW w:w="4677" w:type="dxa"/>
            <w:shd w:val="clear" w:color="auto" w:fill="auto"/>
            <w:vAlign w:val="center"/>
          </w:tcPr>
          <w:p>
            <w:pPr>
              <w:rPr>
                <w:highlight w:val="yellow"/>
              </w:rPr>
            </w:pPr>
            <w:r>
              <w:t>МП "Охрана окружающей среды на территории ЗАТО Северск"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>
            <w:pPr>
              <w:jc w:val="right"/>
            </w:pPr>
            <w:r>
              <w:t>2 086,96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>
            <w:pPr>
              <w:jc w:val="right"/>
            </w:pPr>
            <w:r>
              <w:t>2 086,96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>
            <w:pPr>
              <w:jc w:val="center"/>
            </w:pPr>
            <w:r>
              <w:t>100,0</w:t>
            </w:r>
          </w:p>
        </w:tc>
      </w:tr>
      <w:tr>
        <w:trPr>
          <w:trHeight w:val="255"/>
        </w:trPr>
        <w:tc>
          <w:tcPr>
            <w:tcW w:w="441" w:type="dxa"/>
            <w:shd w:val="clear" w:color="auto" w:fill="auto"/>
            <w:noWrap/>
            <w:vAlign w:val="center"/>
          </w:tcPr>
          <w:p>
            <w:pPr>
              <w:jc w:val="center"/>
            </w:pPr>
            <w:r>
              <w:t>4</w:t>
            </w:r>
          </w:p>
        </w:tc>
        <w:tc>
          <w:tcPr>
            <w:tcW w:w="4677" w:type="dxa"/>
            <w:shd w:val="clear" w:color="auto" w:fill="auto"/>
            <w:vAlign w:val="center"/>
          </w:tcPr>
          <w:p>
            <w:r>
              <w:t xml:space="preserve">МП «Обеспечение безопасности населения на территории ЗАТО Северск» 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>
            <w:pPr>
              <w:jc w:val="right"/>
            </w:pPr>
            <w:r>
              <w:t>1 382,05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>
            <w:pPr>
              <w:jc w:val="right"/>
            </w:pPr>
            <w:r>
              <w:t>1 381,97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>
            <w:pPr>
              <w:jc w:val="center"/>
            </w:pPr>
            <w:r>
              <w:t>100,0</w:t>
            </w:r>
          </w:p>
        </w:tc>
      </w:tr>
      <w:tr>
        <w:trPr>
          <w:trHeight w:val="506"/>
        </w:trPr>
        <w:tc>
          <w:tcPr>
            <w:tcW w:w="441" w:type="dxa"/>
            <w:shd w:val="clear" w:color="auto" w:fill="auto"/>
            <w:noWrap/>
            <w:vAlign w:val="center"/>
          </w:tcPr>
          <w:p>
            <w:pPr>
              <w:jc w:val="center"/>
            </w:pPr>
            <w:r>
              <w:t>5</w:t>
            </w:r>
          </w:p>
        </w:tc>
        <w:tc>
          <w:tcPr>
            <w:tcW w:w="4677" w:type="dxa"/>
            <w:shd w:val="clear" w:color="auto" w:fill="auto"/>
            <w:vAlign w:val="center"/>
          </w:tcPr>
          <w:p>
            <w:r>
              <w:t>МП "Развитие предпринимательства в ЗАТО Северск"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>
            <w:pPr>
              <w:jc w:val="right"/>
            </w:pPr>
            <w:r>
              <w:t>55,0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>
            <w:pPr>
              <w:jc w:val="right"/>
            </w:pPr>
            <w:r>
              <w:t>0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>
            <w:pPr>
              <w:jc w:val="center"/>
            </w:pPr>
            <w:r>
              <w:t>0</w:t>
            </w:r>
          </w:p>
        </w:tc>
      </w:tr>
    </w:tbl>
    <w:p>
      <w:pPr>
        <w:pStyle w:val="31"/>
        <w:tabs>
          <w:tab w:val="clear" w:pos="5529"/>
          <w:tab w:val="left" w:pos="709"/>
        </w:tabs>
        <w:spacing w:before="120"/>
        <w:ind w:right="0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ab/>
      </w:r>
      <w:r>
        <w:rPr>
          <w:sz w:val="24"/>
          <w:szCs w:val="24"/>
        </w:rPr>
        <w:t xml:space="preserve">Управлением имущественных отношений за 2019 год </w:t>
      </w:r>
      <w:r>
        <w:rPr>
          <w:spacing w:val="-4"/>
          <w:sz w:val="24"/>
          <w:szCs w:val="24"/>
        </w:rPr>
        <w:t>исполнялись непрограммные мероприятия:</w:t>
      </w:r>
    </w:p>
    <w:p>
      <w:pPr>
        <w:pStyle w:val="31"/>
        <w:ind w:right="0" w:firstLine="709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- в сумме 302,60 тыс. руб. за счет средств местного бюджета (ФНР Администрации ЗАТО Северск);</w:t>
      </w:r>
    </w:p>
    <w:p>
      <w:pPr>
        <w:pStyle w:val="31"/>
        <w:ind w:right="0" w:firstLine="709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- в сумме 1 982,7 тыс.руб. - исполнение судебных актов.</w:t>
      </w:r>
    </w:p>
    <w:p>
      <w:pPr>
        <w:spacing w:before="12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Исполнение расходов осуществлялось по пяти разделам:</w:t>
      </w:r>
    </w:p>
    <w:p>
      <w:pPr>
        <w:spacing w:before="120" w:after="60"/>
        <w:ind w:firstLine="709"/>
        <w:jc w:val="both"/>
        <w:rPr>
          <w:sz w:val="24"/>
          <w:szCs w:val="24"/>
        </w:rPr>
      </w:pPr>
    </w:p>
    <w:p>
      <w:pPr>
        <w:spacing w:before="120" w:after="6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Таблица 50. Расходы Управления имущественных отношений по разделам                   за 2019 год</w:t>
      </w:r>
    </w:p>
    <w:tbl>
      <w:tblPr>
        <w:tblW w:w="9356" w:type="dxa"/>
        <w:tblInd w:w="108" w:type="dxa"/>
        <w:tblLayout w:type="fixed"/>
        <w:tblLook w:val="04A0"/>
      </w:tblPr>
      <w:tblGrid>
        <w:gridCol w:w="720"/>
        <w:gridCol w:w="4383"/>
        <w:gridCol w:w="1560"/>
        <w:gridCol w:w="1275"/>
        <w:gridCol w:w="1418"/>
      </w:tblGrid>
      <w:tr>
        <w:trPr>
          <w:trHeight w:val="95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>
            <w:pPr>
              <w:jc w:val="center"/>
            </w:pPr>
            <w:r>
              <w:t>Раздел, подраздел</w:t>
            </w:r>
          </w:p>
        </w:tc>
        <w:tc>
          <w:tcPr>
            <w:tcW w:w="4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</w:pPr>
            <w:r>
              <w:t>Наименование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</w:pPr>
            <w:r>
              <w:t>Уточненный план 2019 г., тыс.руб.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right="-42"/>
              <w:jc w:val="center"/>
            </w:pPr>
            <w:r>
              <w:t xml:space="preserve">Исполнено </w:t>
            </w:r>
          </w:p>
          <w:p>
            <w:pPr>
              <w:ind w:right="-42"/>
              <w:jc w:val="center"/>
            </w:pPr>
            <w:r>
              <w:t>за 2019 г., тыс</w:t>
            </w:r>
            <w:proofErr w:type="gramStart"/>
            <w:r>
              <w:t>.р</w:t>
            </w:r>
            <w:proofErr w:type="gramEnd"/>
            <w:r>
              <w:t>уб.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t xml:space="preserve">Процент </w:t>
            </w:r>
          </w:p>
          <w:p>
            <w:pPr>
              <w:jc w:val="center"/>
            </w:pPr>
            <w:r>
              <w:t xml:space="preserve">исполнения </w:t>
            </w:r>
          </w:p>
          <w:p>
            <w:pPr>
              <w:jc w:val="center"/>
            </w:pPr>
            <w:r>
              <w:t>к плану</w:t>
            </w:r>
            <w:r>
              <w:br/>
              <w:t xml:space="preserve"> 2019 г.</w:t>
            </w:r>
          </w:p>
        </w:tc>
      </w:tr>
      <w:tr>
        <w:trPr>
          <w:trHeight w:val="247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center"/>
            </w:pPr>
          </w:p>
        </w:tc>
        <w:tc>
          <w:tcPr>
            <w:tcW w:w="4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r>
              <w:t>Управление имущественных отношений: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right"/>
            </w:pPr>
            <w:r>
              <w:t>101 859,28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right"/>
            </w:pPr>
            <w:r>
              <w:t>100 348,18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t>98,5</w:t>
            </w:r>
          </w:p>
        </w:tc>
      </w:tr>
      <w:tr>
        <w:trPr>
          <w:trHeight w:val="278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center"/>
            </w:pPr>
            <w:r>
              <w:t>0100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r>
              <w:t>Общегосударственные вопросы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right"/>
            </w:pPr>
            <w:r>
              <w:t>19 656,60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right"/>
            </w:pPr>
            <w:r>
              <w:t>19 265,28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t>98,0</w:t>
            </w:r>
          </w:p>
        </w:tc>
      </w:tr>
      <w:tr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center"/>
            </w:pPr>
            <w:r>
              <w:t>0300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r>
              <w:t>Национальная безопасность и правоохранительная деятельность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right"/>
            </w:pPr>
            <w:r>
              <w:t>22,73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right"/>
            </w:pPr>
            <w:r>
              <w:t>22,65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t>99,6</w:t>
            </w:r>
          </w:p>
        </w:tc>
      </w:tr>
      <w:tr>
        <w:trPr>
          <w:trHeight w:val="25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center"/>
            </w:pPr>
            <w:r>
              <w:t>0400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r>
              <w:t>Национальная экономика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right"/>
            </w:pPr>
            <w:r>
              <w:t>61 002,19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right"/>
            </w:pPr>
            <w:r>
              <w:t>59 882,89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t>98,2</w:t>
            </w:r>
          </w:p>
        </w:tc>
      </w:tr>
      <w:tr>
        <w:trPr>
          <w:trHeight w:val="25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center"/>
            </w:pPr>
            <w:r>
              <w:t>0500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r>
              <w:t>Жилищно-коммунальное хозяйство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right"/>
            </w:pPr>
            <w:r>
              <w:t>2 086,96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right"/>
            </w:pPr>
            <w:r>
              <w:t>2 086,56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t>100,0</w:t>
            </w:r>
          </w:p>
        </w:tc>
      </w:tr>
      <w:tr>
        <w:trPr>
          <w:trHeight w:val="25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hd w:val="clear" w:color="auto" w:fill="FFFFFF"/>
              <w:jc w:val="center"/>
            </w:pPr>
            <w:r>
              <w:t>0700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autoSpaceDE w:val="0"/>
              <w:autoSpaceDN w:val="0"/>
              <w:adjustRightInd w:val="0"/>
              <w:jc w:val="both"/>
              <w:outlineLvl w:val="4"/>
            </w:pPr>
            <w:r>
              <w:t>Образование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right"/>
            </w:pPr>
            <w:r>
              <w:t>19 090,80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right"/>
            </w:pPr>
            <w:r>
              <w:t>19 090,80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t>100,0</w:t>
            </w:r>
          </w:p>
        </w:tc>
      </w:tr>
    </w:tbl>
    <w:p>
      <w:pPr>
        <w:pStyle w:val="31"/>
        <w:tabs>
          <w:tab w:val="clear" w:pos="5529"/>
          <w:tab w:val="left" w:pos="709"/>
        </w:tabs>
        <w:ind w:right="0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</w:p>
    <w:p>
      <w:pPr>
        <w:pStyle w:val="31"/>
        <w:spacing w:after="120"/>
        <w:ind w:right="0" w:firstLine="709"/>
        <w:jc w:val="center"/>
        <w:outlineLvl w:val="2"/>
        <w:rPr>
          <w:b/>
          <w:sz w:val="24"/>
          <w:szCs w:val="24"/>
        </w:rPr>
      </w:pPr>
      <w:r>
        <w:rPr>
          <w:b/>
          <w:sz w:val="24"/>
          <w:szCs w:val="24"/>
        </w:rPr>
        <w:t>4.2.10. Счетная палата ЗАТО Северск</w:t>
      </w:r>
    </w:p>
    <w:p>
      <w:pPr>
        <w:ind w:firstLine="709"/>
        <w:jc w:val="both"/>
        <w:rPr>
          <w:sz w:val="24"/>
          <w:szCs w:val="24"/>
          <w:highlight w:val="yellow"/>
        </w:rPr>
      </w:pPr>
      <w:r>
        <w:rPr>
          <w:sz w:val="24"/>
          <w:szCs w:val="24"/>
        </w:rPr>
        <w:t>Кассовое исполнение по непрограммным направлениям расходов за 2018 год составило 16 335,92 тыс.руб. или 99,9% к плану к утвержденным годовым назначениям.</w:t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 общей структуре произведенных расходов удельный вес расходов, подведомственных Счетной палате, составил 0,4%, исполнение расходов осуществлялось по разделу 0100 «Общегосударственные расходы».</w:t>
      </w:r>
    </w:p>
    <w:p>
      <w:pPr>
        <w:ind w:firstLine="709"/>
        <w:jc w:val="both"/>
        <w:rPr>
          <w:sz w:val="24"/>
          <w:szCs w:val="24"/>
          <w:highlight w:val="yellow"/>
        </w:rPr>
      </w:pPr>
    </w:p>
    <w:p>
      <w:pPr>
        <w:pStyle w:val="31"/>
        <w:ind w:right="0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4.2.11. Управление жилищно-коммунального хозяйства, </w:t>
      </w:r>
    </w:p>
    <w:p>
      <w:pPr>
        <w:pStyle w:val="31"/>
        <w:spacing w:after="120"/>
        <w:ind w:right="0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транспорта и связи </w:t>
      </w:r>
      <w:proofErr w:type="gramStart"/>
      <w:r>
        <w:rPr>
          <w:b/>
          <w:sz w:val="24"/>
          <w:szCs w:val="24"/>
        </w:rPr>
        <w:t>Администрации</w:t>
      </w:r>
      <w:proofErr w:type="gramEnd"/>
      <w:r>
        <w:rPr>
          <w:b/>
          <w:sz w:val="24"/>
          <w:szCs w:val="24"/>
        </w:rPr>
        <w:t xml:space="preserve"> ЗАТО Северск</w:t>
      </w:r>
    </w:p>
    <w:p>
      <w:pPr>
        <w:pStyle w:val="27"/>
        <w:shd w:val="clear" w:color="auto" w:fill="auto"/>
        <w:spacing w:line="240" w:lineRule="auto"/>
        <w:ind w:firstLine="709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Кассовое исполнение расходов за 2019 год составило 425 437,68 тыс.руб. или 97,9% к утвержденным годовым назначениям.</w:t>
      </w:r>
    </w:p>
    <w:p>
      <w:pPr>
        <w:pStyle w:val="27"/>
        <w:shd w:val="clear" w:color="auto" w:fill="auto"/>
        <w:spacing w:line="240" w:lineRule="auto"/>
        <w:ind w:firstLine="709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В общей структуре произведенных расходов удельный вес расходов, подведомственных УЖКХ ТиС, составил 9,2%. </w:t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УЖКХ ТиС является ответственным исполнителем четырех муниципальных программ, участником трех муниципальных программ, исполнителем программы «Комплексное развитие систем коммунальной и инженерной инфраструктуры ЗАТО Северск» на 2013 год и на перспективу до 2035 года.</w:t>
      </w:r>
    </w:p>
    <w:p>
      <w:pPr>
        <w:ind w:firstLine="709"/>
        <w:jc w:val="both"/>
        <w:rPr>
          <w:spacing w:val="-4"/>
          <w:sz w:val="24"/>
          <w:szCs w:val="24"/>
        </w:rPr>
      </w:pPr>
      <w:r>
        <w:rPr>
          <w:sz w:val="24"/>
          <w:szCs w:val="24"/>
        </w:rPr>
        <w:t xml:space="preserve">УЖКХ ТиС за 2019 год </w:t>
      </w:r>
      <w:r>
        <w:rPr>
          <w:spacing w:val="-4"/>
          <w:sz w:val="24"/>
          <w:szCs w:val="24"/>
        </w:rPr>
        <w:t xml:space="preserve">исполнены шесть муниципальных программ и программа </w:t>
      </w:r>
      <w:r>
        <w:rPr>
          <w:sz w:val="24"/>
          <w:szCs w:val="24"/>
        </w:rPr>
        <w:t>«Комплексное развитие систем коммунальной и инженерной инфраструктуры ЗАТО Северск» на 2013 год и на перспективу до 2035 года</w:t>
      </w:r>
      <w:r>
        <w:rPr>
          <w:spacing w:val="-4"/>
          <w:sz w:val="24"/>
          <w:szCs w:val="24"/>
        </w:rPr>
        <w:t xml:space="preserve"> на общую сумму 411 655,31 тыс.руб. </w:t>
      </w:r>
      <w:r>
        <w:rPr>
          <w:sz w:val="24"/>
          <w:szCs w:val="24"/>
        </w:rPr>
        <w:t>или 98,2% к утвержденным годовым назначениям.</w:t>
      </w:r>
    </w:p>
    <w:p>
      <w:pPr>
        <w:pStyle w:val="31"/>
        <w:tabs>
          <w:tab w:val="clear" w:pos="5529"/>
          <w:tab w:val="left" w:pos="0"/>
        </w:tabs>
        <w:spacing w:before="120" w:after="60"/>
        <w:ind w:right="0" w:firstLine="709"/>
        <w:rPr>
          <w:spacing w:val="-4"/>
          <w:sz w:val="24"/>
          <w:szCs w:val="24"/>
        </w:rPr>
      </w:pPr>
      <w:r>
        <w:rPr>
          <w:sz w:val="24"/>
          <w:szCs w:val="24"/>
        </w:rPr>
        <w:t>Таблица 51. Расходы УЖКХ ТиС в разрезе МП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06"/>
        <w:gridCol w:w="4871"/>
        <w:gridCol w:w="1296"/>
        <w:gridCol w:w="1403"/>
        <w:gridCol w:w="1422"/>
      </w:tblGrid>
      <w:tr>
        <w:trPr>
          <w:cantSplit/>
          <w:trHeight w:val="988"/>
        </w:trPr>
        <w:tc>
          <w:tcPr>
            <w:tcW w:w="506" w:type="dxa"/>
            <w:textDirection w:val="btLr"/>
            <w:vAlign w:val="center"/>
          </w:tcPr>
          <w:p>
            <w:pPr>
              <w:ind w:left="113" w:right="55"/>
              <w:jc w:val="center"/>
              <w:rPr>
                <w:bCs/>
              </w:rPr>
            </w:pPr>
            <w:r>
              <w:rPr>
                <w:lang w:val="en-US"/>
              </w:rPr>
              <w:t xml:space="preserve">№ </w:t>
            </w:r>
            <w:r>
              <w:t>п/п</w:t>
            </w:r>
          </w:p>
        </w:tc>
        <w:tc>
          <w:tcPr>
            <w:tcW w:w="4871" w:type="dxa"/>
            <w:vAlign w:val="center"/>
          </w:tcPr>
          <w:p>
            <w:pPr>
              <w:ind w:right="55"/>
              <w:jc w:val="center"/>
              <w:rPr>
                <w:bCs/>
              </w:rPr>
            </w:pPr>
            <w:r>
              <w:t>Наименование программы</w:t>
            </w:r>
          </w:p>
        </w:tc>
        <w:tc>
          <w:tcPr>
            <w:tcW w:w="1296" w:type="dxa"/>
            <w:vAlign w:val="center"/>
          </w:tcPr>
          <w:p>
            <w:pPr>
              <w:pStyle w:val="31"/>
              <w:spacing w:line="264" w:lineRule="auto"/>
              <w:ind w:left="-103" w:right="-103"/>
              <w:jc w:val="center"/>
              <w:rPr>
                <w:sz w:val="20"/>
              </w:rPr>
            </w:pPr>
            <w:r>
              <w:rPr>
                <w:sz w:val="20"/>
              </w:rPr>
              <w:t>Утверждено на 2019 год, тыс.руб.</w:t>
            </w:r>
          </w:p>
        </w:tc>
        <w:tc>
          <w:tcPr>
            <w:tcW w:w="1403" w:type="dxa"/>
            <w:vAlign w:val="center"/>
          </w:tcPr>
          <w:p>
            <w:pPr>
              <w:ind w:right="55"/>
              <w:jc w:val="center"/>
            </w:pPr>
            <w:r>
              <w:rPr>
                <w:bCs/>
              </w:rPr>
              <w:t>Исполнено за 2019 год, тыс. руб.</w:t>
            </w:r>
          </w:p>
        </w:tc>
        <w:tc>
          <w:tcPr>
            <w:tcW w:w="1422" w:type="dxa"/>
            <w:vAlign w:val="center"/>
          </w:tcPr>
          <w:p>
            <w:pPr>
              <w:jc w:val="center"/>
            </w:pPr>
            <w:r>
              <w:t xml:space="preserve">Процент </w:t>
            </w:r>
          </w:p>
          <w:p>
            <w:pPr>
              <w:jc w:val="center"/>
            </w:pPr>
            <w:r>
              <w:t>исполнения</w:t>
            </w:r>
          </w:p>
          <w:p>
            <w:pPr>
              <w:jc w:val="center"/>
            </w:pPr>
            <w:r>
              <w:t>к плану</w:t>
            </w:r>
            <w:r>
              <w:br/>
              <w:t xml:space="preserve"> 2019 г.</w:t>
            </w:r>
          </w:p>
        </w:tc>
      </w:tr>
      <w:tr>
        <w:trPr>
          <w:trHeight w:val="406"/>
        </w:trPr>
        <w:tc>
          <w:tcPr>
            <w:tcW w:w="506" w:type="dxa"/>
            <w:vAlign w:val="center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4871" w:type="dxa"/>
            <w:vAlign w:val="center"/>
          </w:tcPr>
          <w:p>
            <w:pPr>
              <w:rPr>
                <w:bCs/>
              </w:rPr>
            </w:pPr>
            <w:r>
              <w:rPr>
                <w:bCs/>
              </w:rPr>
              <w:t>МП «Социальная поддержка населения ЗАТО Северск»</w:t>
            </w:r>
          </w:p>
        </w:tc>
        <w:tc>
          <w:tcPr>
            <w:tcW w:w="1296" w:type="dxa"/>
            <w:vAlign w:val="center"/>
          </w:tcPr>
          <w:p>
            <w:pPr>
              <w:jc w:val="right"/>
            </w:pPr>
            <w:r>
              <w:t>50 538,63</w:t>
            </w:r>
          </w:p>
        </w:tc>
        <w:tc>
          <w:tcPr>
            <w:tcW w:w="1403" w:type="dxa"/>
            <w:vAlign w:val="center"/>
          </w:tcPr>
          <w:p>
            <w:pPr>
              <w:jc w:val="right"/>
            </w:pPr>
            <w:r>
              <w:t>50 538,63</w:t>
            </w:r>
          </w:p>
        </w:tc>
        <w:tc>
          <w:tcPr>
            <w:tcW w:w="1422" w:type="dxa"/>
            <w:vAlign w:val="center"/>
          </w:tcPr>
          <w:p>
            <w:pPr>
              <w:jc w:val="center"/>
            </w:pPr>
            <w:r>
              <w:t>100,0</w:t>
            </w:r>
          </w:p>
        </w:tc>
      </w:tr>
      <w:tr>
        <w:trPr>
          <w:trHeight w:val="640"/>
        </w:trPr>
        <w:tc>
          <w:tcPr>
            <w:tcW w:w="506" w:type="dxa"/>
            <w:vAlign w:val="center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4871" w:type="dxa"/>
            <w:vAlign w:val="center"/>
          </w:tcPr>
          <w:p>
            <w:pPr>
              <w:rPr>
                <w:bCs/>
              </w:rPr>
            </w:pPr>
            <w:r>
              <w:rPr>
                <w:bCs/>
              </w:rPr>
              <w:t>МП «Улучшение качественного состояния объектов улично-дорожной сети, благоустройства и озеленения территории г.Северска»</w:t>
            </w:r>
          </w:p>
        </w:tc>
        <w:tc>
          <w:tcPr>
            <w:tcW w:w="1296" w:type="dxa"/>
            <w:vAlign w:val="center"/>
          </w:tcPr>
          <w:p>
            <w:pPr>
              <w:jc w:val="right"/>
            </w:pPr>
            <w:r>
              <w:t>286 852,15</w:t>
            </w:r>
          </w:p>
        </w:tc>
        <w:tc>
          <w:tcPr>
            <w:tcW w:w="1403" w:type="dxa"/>
            <w:vAlign w:val="center"/>
          </w:tcPr>
          <w:p>
            <w:pPr>
              <w:jc w:val="right"/>
            </w:pPr>
            <w:r>
              <w:t>284 337,28</w:t>
            </w:r>
          </w:p>
        </w:tc>
        <w:tc>
          <w:tcPr>
            <w:tcW w:w="1422" w:type="dxa"/>
            <w:vAlign w:val="center"/>
          </w:tcPr>
          <w:p>
            <w:pPr>
              <w:jc w:val="center"/>
            </w:pPr>
            <w:r>
              <w:t>99,1</w:t>
            </w:r>
          </w:p>
        </w:tc>
      </w:tr>
      <w:tr>
        <w:trPr>
          <w:trHeight w:val="380"/>
        </w:trPr>
        <w:tc>
          <w:tcPr>
            <w:tcW w:w="506" w:type="dxa"/>
            <w:vAlign w:val="center"/>
          </w:tcPr>
          <w:p>
            <w:pPr>
              <w:jc w:val="center"/>
            </w:pPr>
            <w:r>
              <w:t>3</w:t>
            </w:r>
          </w:p>
        </w:tc>
        <w:tc>
          <w:tcPr>
            <w:tcW w:w="4871" w:type="dxa"/>
            <w:vAlign w:val="center"/>
          </w:tcPr>
          <w:p>
            <w:pPr>
              <w:pStyle w:val="31"/>
              <w:tabs>
                <w:tab w:val="clear" w:pos="5529"/>
                <w:tab w:val="left" w:pos="0"/>
              </w:tabs>
              <w:ind w:right="0"/>
              <w:jc w:val="left"/>
              <w:rPr>
                <w:bCs/>
                <w:sz w:val="20"/>
              </w:rPr>
            </w:pPr>
            <w:r>
              <w:rPr>
                <w:spacing w:val="-4"/>
                <w:sz w:val="20"/>
              </w:rPr>
              <w:t xml:space="preserve">МП </w:t>
            </w:r>
            <w:r>
              <w:rPr>
                <w:bCs/>
                <w:sz w:val="20"/>
              </w:rPr>
              <w:t xml:space="preserve">«Повышение энергоэффективности в ЗАТО Северск» </w:t>
            </w:r>
          </w:p>
        </w:tc>
        <w:tc>
          <w:tcPr>
            <w:tcW w:w="1296" w:type="dxa"/>
            <w:vAlign w:val="center"/>
          </w:tcPr>
          <w:p>
            <w:pPr>
              <w:jc w:val="right"/>
            </w:pPr>
            <w:r>
              <w:t>37 746,21</w:t>
            </w:r>
          </w:p>
        </w:tc>
        <w:tc>
          <w:tcPr>
            <w:tcW w:w="1403" w:type="dxa"/>
            <w:vAlign w:val="center"/>
          </w:tcPr>
          <w:p>
            <w:pPr>
              <w:jc w:val="right"/>
            </w:pPr>
            <w:r>
              <w:t>35 112,51</w:t>
            </w:r>
          </w:p>
        </w:tc>
        <w:tc>
          <w:tcPr>
            <w:tcW w:w="1422" w:type="dxa"/>
            <w:vAlign w:val="center"/>
          </w:tcPr>
          <w:p>
            <w:pPr>
              <w:jc w:val="center"/>
            </w:pPr>
            <w:r>
              <w:t>93,0</w:t>
            </w:r>
          </w:p>
        </w:tc>
      </w:tr>
      <w:tr>
        <w:trPr>
          <w:trHeight w:val="330"/>
        </w:trPr>
        <w:tc>
          <w:tcPr>
            <w:tcW w:w="506" w:type="dxa"/>
            <w:vAlign w:val="center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4871" w:type="dxa"/>
            <w:vAlign w:val="center"/>
          </w:tcPr>
          <w:p>
            <w:pPr>
              <w:rPr>
                <w:bCs/>
              </w:rPr>
            </w:pPr>
            <w:r>
              <w:rPr>
                <w:bCs/>
              </w:rPr>
              <w:t>МП «Обеспечение доступным и комфортным жильем граждан ЗАТО Северск»</w:t>
            </w:r>
          </w:p>
        </w:tc>
        <w:tc>
          <w:tcPr>
            <w:tcW w:w="1296" w:type="dxa"/>
            <w:vAlign w:val="center"/>
          </w:tcPr>
          <w:p>
            <w:pPr>
              <w:jc w:val="right"/>
            </w:pPr>
            <w:r>
              <w:t>18 435,81</w:t>
            </w:r>
          </w:p>
        </w:tc>
        <w:tc>
          <w:tcPr>
            <w:tcW w:w="1403" w:type="dxa"/>
            <w:vAlign w:val="center"/>
          </w:tcPr>
          <w:p>
            <w:pPr>
              <w:jc w:val="right"/>
            </w:pPr>
            <w:r>
              <w:t>16 363,29</w:t>
            </w:r>
          </w:p>
        </w:tc>
        <w:tc>
          <w:tcPr>
            <w:tcW w:w="1422" w:type="dxa"/>
            <w:vAlign w:val="center"/>
          </w:tcPr>
          <w:p>
            <w:pPr>
              <w:jc w:val="center"/>
            </w:pPr>
            <w:r>
              <w:t>88,8</w:t>
            </w:r>
          </w:p>
        </w:tc>
      </w:tr>
      <w:tr>
        <w:trPr>
          <w:trHeight w:val="422"/>
        </w:trPr>
        <w:tc>
          <w:tcPr>
            <w:tcW w:w="506" w:type="dxa"/>
            <w:vAlign w:val="center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4871" w:type="dxa"/>
            <w:vAlign w:val="center"/>
          </w:tcPr>
          <w:p>
            <w:pPr>
              <w:rPr>
                <w:bCs/>
              </w:rPr>
            </w:pPr>
            <w:r>
              <w:rPr>
                <w:bCs/>
              </w:rPr>
              <w:t xml:space="preserve">МП «Обеспечение безопасности населения на территории ЗАТО Северск» </w:t>
            </w:r>
          </w:p>
        </w:tc>
        <w:tc>
          <w:tcPr>
            <w:tcW w:w="1296" w:type="dxa"/>
            <w:vAlign w:val="center"/>
          </w:tcPr>
          <w:p>
            <w:pPr>
              <w:jc w:val="right"/>
            </w:pPr>
            <w:r>
              <w:t>18 516,67</w:t>
            </w:r>
          </w:p>
        </w:tc>
        <w:tc>
          <w:tcPr>
            <w:tcW w:w="1403" w:type="dxa"/>
            <w:vAlign w:val="center"/>
          </w:tcPr>
          <w:p>
            <w:pPr>
              <w:jc w:val="right"/>
            </w:pPr>
            <w:r>
              <w:t>18 362,03</w:t>
            </w:r>
          </w:p>
        </w:tc>
        <w:tc>
          <w:tcPr>
            <w:tcW w:w="1422" w:type="dxa"/>
            <w:vAlign w:val="center"/>
          </w:tcPr>
          <w:p>
            <w:pPr>
              <w:jc w:val="center"/>
            </w:pPr>
            <w:r>
              <w:t>99,2</w:t>
            </w:r>
          </w:p>
        </w:tc>
      </w:tr>
      <w:tr>
        <w:trPr>
          <w:trHeight w:val="386"/>
        </w:trPr>
        <w:tc>
          <w:tcPr>
            <w:tcW w:w="506" w:type="dxa"/>
            <w:vAlign w:val="center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4871" w:type="dxa"/>
            <w:vAlign w:val="center"/>
          </w:tcPr>
          <w:p>
            <w:pPr>
              <w:rPr>
                <w:bCs/>
              </w:rPr>
            </w:pPr>
            <w:r>
              <w:rPr>
                <w:bCs/>
              </w:rPr>
              <w:t xml:space="preserve">МП «Охрана окружающей среды на территории ЗАТО Северск» </w:t>
            </w:r>
          </w:p>
        </w:tc>
        <w:tc>
          <w:tcPr>
            <w:tcW w:w="1296" w:type="dxa"/>
            <w:vAlign w:val="center"/>
          </w:tcPr>
          <w:p>
            <w:pPr>
              <w:jc w:val="right"/>
            </w:pPr>
            <w:r>
              <w:t>5 181,88</w:t>
            </w:r>
          </w:p>
        </w:tc>
        <w:tc>
          <w:tcPr>
            <w:tcW w:w="1403" w:type="dxa"/>
            <w:vAlign w:val="center"/>
          </w:tcPr>
          <w:p>
            <w:pPr>
              <w:jc w:val="right"/>
            </w:pPr>
            <w:r>
              <w:t>5 181,88</w:t>
            </w:r>
          </w:p>
        </w:tc>
        <w:tc>
          <w:tcPr>
            <w:tcW w:w="1422" w:type="dxa"/>
            <w:vAlign w:val="center"/>
          </w:tcPr>
          <w:p>
            <w:pPr>
              <w:jc w:val="center"/>
            </w:pPr>
            <w:r>
              <w:t>100,0</w:t>
            </w:r>
          </w:p>
        </w:tc>
      </w:tr>
      <w:tr>
        <w:tc>
          <w:tcPr>
            <w:tcW w:w="506" w:type="dxa"/>
            <w:shd w:val="clear" w:color="auto" w:fill="auto"/>
            <w:vAlign w:val="center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>7</w:t>
            </w:r>
          </w:p>
        </w:tc>
        <w:tc>
          <w:tcPr>
            <w:tcW w:w="4871" w:type="dxa"/>
            <w:shd w:val="clear" w:color="auto" w:fill="auto"/>
            <w:vAlign w:val="center"/>
          </w:tcPr>
          <w:p>
            <w:r>
              <w:t>Программа «Комплексное развитие систем коммунальной и инженерной инфраструктуры ЗАТО Северск»</w:t>
            </w:r>
          </w:p>
        </w:tc>
        <w:tc>
          <w:tcPr>
            <w:tcW w:w="1296" w:type="dxa"/>
            <w:shd w:val="clear" w:color="auto" w:fill="auto"/>
            <w:vAlign w:val="center"/>
          </w:tcPr>
          <w:p>
            <w:pPr>
              <w:jc w:val="right"/>
            </w:pPr>
            <w:r>
              <w:t>2 028,57</w:t>
            </w:r>
          </w:p>
        </w:tc>
        <w:tc>
          <w:tcPr>
            <w:tcW w:w="1403" w:type="dxa"/>
            <w:shd w:val="clear" w:color="auto" w:fill="auto"/>
            <w:vAlign w:val="center"/>
          </w:tcPr>
          <w:p>
            <w:pPr>
              <w:jc w:val="right"/>
            </w:pPr>
            <w:r>
              <w:t>1 759,69</w:t>
            </w:r>
          </w:p>
        </w:tc>
        <w:tc>
          <w:tcPr>
            <w:tcW w:w="1422" w:type="dxa"/>
            <w:shd w:val="clear" w:color="auto" w:fill="auto"/>
            <w:vAlign w:val="center"/>
          </w:tcPr>
          <w:p>
            <w:pPr>
              <w:jc w:val="center"/>
            </w:pPr>
            <w:r>
              <w:t>86,7</w:t>
            </w:r>
          </w:p>
        </w:tc>
      </w:tr>
    </w:tbl>
    <w:p>
      <w:pPr>
        <w:pStyle w:val="27"/>
        <w:shd w:val="clear" w:color="auto" w:fill="auto"/>
        <w:spacing w:before="120" w:line="240" w:lineRule="auto"/>
        <w:ind w:firstLine="709"/>
        <w:rPr>
          <w:rFonts w:eastAsia="Calibri"/>
          <w:sz w:val="24"/>
          <w:szCs w:val="24"/>
        </w:rPr>
      </w:pPr>
      <w:r>
        <w:rPr>
          <w:rStyle w:val="16"/>
          <w:rFonts w:eastAsia="Calibri"/>
          <w:sz w:val="24"/>
          <w:szCs w:val="24"/>
        </w:rPr>
        <w:lastRenderedPageBreak/>
        <w:t>В разрезе разделов функциональной классификации и</w:t>
      </w:r>
      <w:r>
        <w:rPr>
          <w:rFonts w:eastAsia="Calibri"/>
          <w:sz w:val="24"/>
          <w:szCs w:val="24"/>
        </w:rPr>
        <w:t xml:space="preserve">сполнение расходов УЖКХ ТиС осуществляется по 4 разделам: </w:t>
      </w:r>
    </w:p>
    <w:p>
      <w:pPr>
        <w:spacing w:before="120" w:after="6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Таблица 52. Расходы УЖКХ ТиС по разделам за 2019 год</w:t>
      </w:r>
    </w:p>
    <w:tbl>
      <w:tblPr>
        <w:tblW w:w="951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66"/>
        <w:gridCol w:w="4636"/>
        <w:gridCol w:w="1320"/>
        <w:gridCol w:w="1296"/>
        <w:gridCol w:w="1395"/>
      </w:tblGrid>
      <w:tr>
        <w:trPr>
          <w:cantSplit/>
          <w:trHeight w:val="959"/>
        </w:trPr>
        <w:tc>
          <w:tcPr>
            <w:tcW w:w="866" w:type="dxa"/>
            <w:shd w:val="clear" w:color="auto" w:fill="auto"/>
            <w:noWrap/>
            <w:tcMar>
              <w:left w:w="0" w:type="dxa"/>
              <w:right w:w="0" w:type="dxa"/>
            </w:tcMar>
            <w:textDirection w:val="btLr"/>
            <w:vAlign w:val="center"/>
          </w:tcPr>
          <w:p>
            <w:pPr>
              <w:ind w:left="113" w:right="113"/>
              <w:jc w:val="center"/>
            </w:pPr>
            <w:r>
              <w:t>Раздел,</w:t>
            </w:r>
          </w:p>
          <w:p>
            <w:pPr>
              <w:ind w:left="113" w:right="113"/>
              <w:jc w:val="center"/>
            </w:pPr>
            <w:proofErr w:type="spellStart"/>
            <w:proofErr w:type="gramStart"/>
            <w:r>
              <w:t>подраз-дел</w:t>
            </w:r>
            <w:proofErr w:type="spellEnd"/>
            <w:proofErr w:type="gramEnd"/>
          </w:p>
        </w:tc>
        <w:tc>
          <w:tcPr>
            <w:tcW w:w="4636" w:type="dxa"/>
            <w:shd w:val="clear" w:color="auto" w:fill="auto"/>
            <w:vAlign w:val="center"/>
          </w:tcPr>
          <w:p>
            <w:pPr>
              <w:ind w:left="-57" w:right="-57"/>
              <w:jc w:val="center"/>
            </w:pPr>
            <w:r>
              <w:t>Наименование</w:t>
            </w:r>
          </w:p>
        </w:tc>
        <w:tc>
          <w:tcPr>
            <w:tcW w:w="1320" w:type="dxa"/>
            <w:shd w:val="clear" w:color="auto" w:fill="auto"/>
            <w:noWrap/>
            <w:vAlign w:val="center"/>
          </w:tcPr>
          <w:p>
            <w:pPr>
              <w:ind w:left="-57" w:right="-57"/>
              <w:jc w:val="center"/>
            </w:pPr>
            <w:r>
              <w:t>Утверждено на 2019 год, тыс.руб.</w:t>
            </w:r>
          </w:p>
        </w:tc>
        <w:tc>
          <w:tcPr>
            <w:tcW w:w="1296" w:type="dxa"/>
            <w:shd w:val="clear" w:color="auto" w:fill="auto"/>
            <w:vAlign w:val="center"/>
          </w:tcPr>
          <w:p>
            <w:pPr>
              <w:jc w:val="center"/>
            </w:pPr>
            <w:r>
              <w:t>Исполнено за 2019 год, тыс. руб.</w:t>
            </w:r>
          </w:p>
        </w:tc>
        <w:tc>
          <w:tcPr>
            <w:tcW w:w="1395" w:type="dxa"/>
            <w:shd w:val="clear" w:color="auto" w:fill="auto"/>
            <w:vAlign w:val="center"/>
          </w:tcPr>
          <w:p>
            <w:pPr>
              <w:jc w:val="center"/>
            </w:pPr>
            <w:r>
              <w:t xml:space="preserve">Процент </w:t>
            </w:r>
          </w:p>
          <w:p>
            <w:pPr>
              <w:jc w:val="center"/>
            </w:pPr>
            <w:r>
              <w:t>исполнения</w:t>
            </w:r>
          </w:p>
          <w:p>
            <w:pPr>
              <w:jc w:val="center"/>
            </w:pPr>
            <w:r>
              <w:t>к плану</w:t>
            </w:r>
            <w:r>
              <w:br/>
              <w:t xml:space="preserve"> 2019 г.</w:t>
            </w:r>
          </w:p>
        </w:tc>
      </w:tr>
      <w:tr>
        <w:trPr>
          <w:trHeight w:val="255"/>
        </w:trPr>
        <w:tc>
          <w:tcPr>
            <w:tcW w:w="866" w:type="dxa"/>
            <w:shd w:val="clear" w:color="auto" w:fill="auto"/>
            <w:noWrap/>
            <w:vAlign w:val="center"/>
          </w:tcPr>
          <w:p>
            <w:pPr>
              <w:jc w:val="center"/>
            </w:pPr>
          </w:p>
        </w:tc>
        <w:tc>
          <w:tcPr>
            <w:tcW w:w="4636" w:type="dxa"/>
            <w:shd w:val="clear" w:color="auto" w:fill="auto"/>
            <w:vAlign w:val="center"/>
          </w:tcPr>
          <w:p>
            <w:pPr>
              <w:pStyle w:val="27"/>
              <w:shd w:val="clear" w:color="auto" w:fill="auto"/>
              <w:spacing w:line="264" w:lineRule="auto"/>
              <w:ind w:firstLine="0"/>
              <w:jc w:val="left"/>
              <w:rPr>
                <w:rStyle w:val="55pt"/>
                <w:rFonts w:eastAsia="Calibri"/>
                <w:sz w:val="20"/>
                <w:szCs w:val="20"/>
              </w:rPr>
            </w:pPr>
            <w:r>
              <w:rPr>
                <w:rStyle w:val="55pt"/>
                <w:rFonts w:eastAsia="Calibri"/>
                <w:sz w:val="20"/>
                <w:szCs w:val="20"/>
              </w:rPr>
              <w:t>УЖКХ ТиС:</w:t>
            </w:r>
          </w:p>
        </w:tc>
        <w:tc>
          <w:tcPr>
            <w:tcW w:w="1320" w:type="dxa"/>
            <w:shd w:val="clear" w:color="auto" w:fill="auto"/>
            <w:noWrap/>
            <w:vAlign w:val="center"/>
          </w:tcPr>
          <w:p>
            <w:pPr>
              <w:jc w:val="right"/>
            </w:pPr>
            <w:r>
              <w:t>434 400,19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>
            <w:pPr>
              <w:jc w:val="right"/>
            </w:pPr>
            <w:r>
              <w:t>425 437,68</w:t>
            </w:r>
          </w:p>
        </w:tc>
        <w:tc>
          <w:tcPr>
            <w:tcW w:w="1395" w:type="dxa"/>
            <w:shd w:val="clear" w:color="auto" w:fill="auto"/>
            <w:noWrap/>
            <w:vAlign w:val="center"/>
          </w:tcPr>
          <w:p>
            <w:pPr>
              <w:jc w:val="center"/>
            </w:pPr>
            <w:r>
              <w:t>97,9</w:t>
            </w:r>
          </w:p>
        </w:tc>
      </w:tr>
      <w:tr>
        <w:trPr>
          <w:trHeight w:val="255"/>
        </w:trPr>
        <w:tc>
          <w:tcPr>
            <w:tcW w:w="866" w:type="dxa"/>
            <w:shd w:val="clear" w:color="auto" w:fill="auto"/>
            <w:noWrap/>
            <w:vAlign w:val="center"/>
          </w:tcPr>
          <w:p>
            <w:pPr>
              <w:jc w:val="center"/>
            </w:pPr>
            <w:r>
              <w:t>0100</w:t>
            </w:r>
          </w:p>
        </w:tc>
        <w:tc>
          <w:tcPr>
            <w:tcW w:w="4636" w:type="dxa"/>
            <w:shd w:val="clear" w:color="auto" w:fill="auto"/>
            <w:vAlign w:val="center"/>
          </w:tcPr>
          <w:p>
            <w:r>
              <w:t>Общегосударственные вопросы</w:t>
            </w:r>
          </w:p>
        </w:tc>
        <w:tc>
          <w:tcPr>
            <w:tcW w:w="1320" w:type="dxa"/>
            <w:shd w:val="clear" w:color="auto" w:fill="auto"/>
            <w:noWrap/>
            <w:vAlign w:val="center"/>
          </w:tcPr>
          <w:p>
            <w:pPr>
              <w:jc w:val="right"/>
            </w:pPr>
            <w:r>
              <w:t>3 286,18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>
            <w:pPr>
              <w:jc w:val="right"/>
            </w:pPr>
            <w:r>
              <w:t>3 286,18</w:t>
            </w:r>
          </w:p>
        </w:tc>
        <w:tc>
          <w:tcPr>
            <w:tcW w:w="1395" w:type="dxa"/>
            <w:shd w:val="clear" w:color="auto" w:fill="auto"/>
            <w:noWrap/>
            <w:vAlign w:val="center"/>
          </w:tcPr>
          <w:p>
            <w:pPr>
              <w:jc w:val="center"/>
            </w:pPr>
            <w:r>
              <w:t>100,0</w:t>
            </w:r>
          </w:p>
        </w:tc>
      </w:tr>
      <w:tr>
        <w:trPr>
          <w:trHeight w:val="146"/>
        </w:trPr>
        <w:tc>
          <w:tcPr>
            <w:tcW w:w="866" w:type="dxa"/>
            <w:shd w:val="clear" w:color="auto" w:fill="auto"/>
            <w:noWrap/>
            <w:vAlign w:val="center"/>
          </w:tcPr>
          <w:p>
            <w:pPr>
              <w:jc w:val="center"/>
            </w:pPr>
            <w:r>
              <w:t>0400</w:t>
            </w:r>
          </w:p>
        </w:tc>
        <w:tc>
          <w:tcPr>
            <w:tcW w:w="4636" w:type="dxa"/>
            <w:shd w:val="clear" w:color="auto" w:fill="auto"/>
            <w:vAlign w:val="center"/>
          </w:tcPr>
          <w:p>
            <w:pPr>
              <w:pStyle w:val="27"/>
              <w:shd w:val="clear" w:color="auto" w:fill="auto"/>
              <w:spacing w:line="264" w:lineRule="auto"/>
              <w:ind w:firstLine="0"/>
              <w:jc w:val="left"/>
              <w:rPr>
                <w:rFonts w:eastAsia="Calibri"/>
                <w:sz w:val="20"/>
                <w:szCs w:val="20"/>
              </w:rPr>
            </w:pPr>
            <w:r>
              <w:rPr>
                <w:rStyle w:val="55pt"/>
                <w:rFonts w:eastAsia="Calibri"/>
                <w:sz w:val="20"/>
                <w:szCs w:val="20"/>
              </w:rPr>
              <w:t>Национальная экономика</w:t>
            </w:r>
          </w:p>
        </w:tc>
        <w:tc>
          <w:tcPr>
            <w:tcW w:w="1320" w:type="dxa"/>
            <w:shd w:val="clear" w:color="auto" w:fill="auto"/>
            <w:noWrap/>
            <w:vAlign w:val="center"/>
          </w:tcPr>
          <w:p>
            <w:pPr>
              <w:jc w:val="right"/>
            </w:pPr>
            <w:r>
              <w:t>239 904,36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>
            <w:pPr>
              <w:jc w:val="right"/>
            </w:pPr>
            <w:r>
              <w:t>237 537,79</w:t>
            </w:r>
          </w:p>
        </w:tc>
        <w:tc>
          <w:tcPr>
            <w:tcW w:w="1395" w:type="dxa"/>
            <w:shd w:val="clear" w:color="auto" w:fill="auto"/>
            <w:noWrap/>
            <w:vAlign w:val="center"/>
          </w:tcPr>
          <w:p>
            <w:pPr>
              <w:jc w:val="center"/>
            </w:pPr>
            <w:r>
              <w:t>99,0</w:t>
            </w:r>
          </w:p>
        </w:tc>
      </w:tr>
      <w:tr>
        <w:trPr>
          <w:trHeight w:val="279"/>
        </w:trPr>
        <w:tc>
          <w:tcPr>
            <w:tcW w:w="866" w:type="dxa"/>
            <w:shd w:val="clear" w:color="auto" w:fill="auto"/>
            <w:noWrap/>
            <w:vAlign w:val="center"/>
          </w:tcPr>
          <w:p>
            <w:pPr>
              <w:jc w:val="center"/>
            </w:pPr>
            <w:r>
              <w:t>0500</w:t>
            </w:r>
          </w:p>
        </w:tc>
        <w:tc>
          <w:tcPr>
            <w:tcW w:w="4636" w:type="dxa"/>
            <w:shd w:val="clear" w:color="auto" w:fill="auto"/>
            <w:vAlign w:val="center"/>
          </w:tcPr>
          <w:p>
            <w:pPr>
              <w:pStyle w:val="27"/>
              <w:shd w:val="clear" w:color="auto" w:fill="auto"/>
              <w:spacing w:line="264" w:lineRule="auto"/>
              <w:ind w:firstLine="0"/>
              <w:jc w:val="left"/>
              <w:rPr>
                <w:rFonts w:eastAsia="Calibri"/>
                <w:sz w:val="20"/>
                <w:szCs w:val="20"/>
              </w:rPr>
            </w:pPr>
            <w:r>
              <w:rPr>
                <w:rStyle w:val="55pt"/>
                <w:rFonts w:eastAsia="Calibri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1320" w:type="dxa"/>
            <w:shd w:val="clear" w:color="auto" w:fill="auto"/>
            <w:noWrap/>
            <w:vAlign w:val="center"/>
          </w:tcPr>
          <w:p>
            <w:pPr>
              <w:jc w:val="right"/>
            </w:pPr>
            <w:r>
              <w:t>168 804,51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>
            <w:pPr>
              <w:jc w:val="right"/>
            </w:pPr>
            <w:r>
              <w:t>165 403,47</w:t>
            </w:r>
          </w:p>
        </w:tc>
        <w:tc>
          <w:tcPr>
            <w:tcW w:w="1395" w:type="dxa"/>
            <w:shd w:val="clear" w:color="auto" w:fill="auto"/>
            <w:noWrap/>
            <w:vAlign w:val="center"/>
          </w:tcPr>
          <w:p>
            <w:pPr>
              <w:jc w:val="center"/>
            </w:pPr>
            <w:r>
              <w:t>98,0</w:t>
            </w:r>
          </w:p>
        </w:tc>
      </w:tr>
      <w:tr>
        <w:trPr>
          <w:trHeight w:val="255"/>
        </w:trPr>
        <w:tc>
          <w:tcPr>
            <w:tcW w:w="866" w:type="dxa"/>
            <w:shd w:val="clear" w:color="auto" w:fill="auto"/>
            <w:noWrap/>
            <w:vAlign w:val="center"/>
          </w:tcPr>
          <w:p>
            <w:pPr>
              <w:jc w:val="center"/>
            </w:pPr>
            <w:r>
              <w:t>1000</w:t>
            </w:r>
          </w:p>
        </w:tc>
        <w:tc>
          <w:tcPr>
            <w:tcW w:w="4636" w:type="dxa"/>
            <w:shd w:val="clear" w:color="auto" w:fill="auto"/>
            <w:vAlign w:val="center"/>
          </w:tcPr>
          <w:p>
            <w:pPr>
              <w:pStyle w:val="27"/>
              <w:shd w:val="clear" w:color="auto" w:fill="auto"/>
              <w:spacing w:line="264" w:lineRule="auto"/>
              <w:ind w:firstLine="0"/>
              <w:jc w:val="left"/>
              <w:rPr>
                <w:rFonts w:eastAsia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eastAsia="Calibri"/>
                <w:color w:val="000000"/>
                <w:sz w:val="20"/>
                <w:szCs w:val="20"/>
                <w:shd w:val="clear" w:color="auto" w:fill="FFFFFF"/>
              </w:rPr>
              <w:t>Социальная политика</w:t>
            </w:r>
          </w:p>
        </w:tc>
        <w:tc>
          <w:tcPr>
            <w:tcW w:w="1320" w:type="dxa"/>
            <w:shd w:val="clear" w:color="auto" w:fill="auto"/>
            <w:noWrap/>
            <w:vAlign w:val="center"/>
          </w:tcPr>
          <w:p>
            <w:pPr>
              <w:jc w:val="right"/>
            </w:pPr>
            <w:r>
              <w:t>22 405,14</w:t>
            </w:r>
          </w:p>
        </w:tc>
        <w:tc>
          <w:tcPr>
            <w:tcW w:w="1296" w:type="dxa"/>
            <w:shd w:val="clear" w:color="auto" w:fill="auto"/>
            <w:noWrap/>
            <w:vAlign w:val="center"/>
          </w:tcPr>
          <w:p>
            <w:pPr>
              <w:jc w:val="right"/>
            </w:pPr>
            <w:r>
              <w:t>19 210,24</w:t>
            </w:r>
          </w:p>
        </w:tc>
        <w:tc>
          <w:tcPr>
            <w:tcW w:w="1395" w:type="dxa"/>
            <w:shd w:val="clear" w:color="auto" w:fill="auto"/>
            <w:noWrap/>
            <w:vAlign w:val="center"/>
          </w:tcPr>
          <w:p>
            <w:pPr>
              <w:jc w:val="center"/>
            </w:pPr>
            <w:r>
              <w:t>85,7</w:t>
            </w:r>
          </w:p>
        </w:tc>
      </w:tr>
    </w:tbl>
    <w:p>
      <w:pPr>
        <w:pStyle w:val="27"/>
        <w:shd w:val="clear" w:color="auto" w:fill="auto"/>
        <w:spacing w:line="240" w:lineRule="auto"/>
        <w:ind w:firstLine="0"/>
        <w:rPr>
          <w:sz w:val="24"/>
          <w:szCs w:val="24"/>
          <w:highlight w:val="yellow"/>
        </w:rPr>
      </w:pPr>
    </w:p>
    <w:p>
      <w:pPr>
        <w:pStyle w:val="31"/>
        <w:ind w:right="-2" w:firstLine="709"/>
        <w:rPr>
          <w:spacing w:val="-4"/>
          <w:sz w:val="24"/>
          <w:szCs w:val="24"/>
        </w:rPr>
      </w:pPr>
      <w:r>
        <w:rPr>
          <w:sz w:val="24"/>
          <w:szCs w:val="24"/>
        </w:rPr>
        <w:t xml:space="preserve">УЖКХ ТиС за 2019 год </w:t>
      </w:r>
      <w:r>
        <w:rPr>
          <w:spacing w:val="-4"/>
          <w:sz w:val="24"/>
          <w:szCs w:val="24"/>
        </w:rPr>
        <w:t>исполнялись непрограммные мероприятия на общую сумму 13 782,37 тыс. руб., в том числе:</w:t>
      </w:r>
    </w:p>
    <w:p>
      <w:pPr>
        <w:pStyle w:val="31"/>
        <w:ind w:right="-2" w:firstLine="709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- в сумме 13 752,61 тыс. руб. на исполнение судебных актов, из них:</w:t>
      </w:r>
      <w:r>
        <w:rPr>
          <w:bCs/>
          <w:sz w:val="24"/>
          <w:szCs w:val="24"/>
        </w:rPr>
        <w:t xml:space="preserve"> за счет средств областного бюджета – 10 466,43 тыс.руб. было приобретено 10 жилых помещений для детей-сирот и детей, оставшихся без попечения родителей</w:t>
      </w:r>
      <w:r>
        <w:rPr>
          <w:spacing w:val="-4"/>
          <w:sz w:val="24"/>
          <w:szCs w:val="24"/>
        </w:rPr>
        <w:t>;</w:t>
      </w:r>
    </w:p>
    <w:p>
      <w:pPr>
        <w:pStyle w:val="31"/>
        <w:ind w:right="-2" w:firstLine="709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- в сумме 29,76 тыс.руб. на установку игрового оборудования за счет средств резервного фонда финансирования непредвиденных расходов Администрации Томской области.</w:t>
      </w:r>
    </w:p>
    <w:p>
      <w:pPr>
        <w:jc w:val="center"/>
        <w:rPr>
          <w:b/>
          <w:sz w:val="22"/>
          <w:szCs w:val="22"/>
        </w:rPr>
      </w:pP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4.2.12. Управление капитального строительства</w:t>
      </w:r>
    </w:p>
    <w:p>
      <w:pPr>
        <w:spacing w:after="1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Администрации ЗАТО Северск</w:t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Кассовое исполнение расходов за 2019 год составило 465 789,85 тыс. руб. или 99,2 % к утвержденным годовым назначениям.</w:t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общей структуре расходов удельный вес расходов, подведомственных Управлению капитального строительства, составил 10,3 %. </w:t>
      </w:r>
    </w:p>
    <w:p>
      <w:pPr>
        <w:pStyle w:val="31"/>
        <w:ind w:right="0" w:firstLine="709"/>
        <w:rPr>
          <w:sz w:val="24"/>
          <w:szCs w:val="24"/>
        </w:rPr>
      </w:pPr>
      <w:r>
        <w:rPr>
          <w:sz w:val="24"/>
          <w:szCs w:val="24"/>
        </w:rPr>
        <w:t xml:space="preserve">Управление капитального строительства является участником 9 муниципальных программ и исполнителем программы «Комплексное развитие систем коммунальной и инженерной инфраструктуры ЗАТО Северск» на 2013 год и на перспективу до 2035 года.  </w:t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За 2019 год Управлением капитального строительства исполнено 8 муниципальных программ и программа «Комплексное развитие систем коммунальной и инженерной инфраструктуры ЗАТО Северск» на 2013 год и на перспективу до 2035 года на общую сумму 465 781,87 тыс.руб.</w:t>
      </w:r>
    </w:p>
    <w:p>
      <w:pPr>
        <w:spacing w:before="60" w:after="60"/>
        <w:ind w:right="57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Таблица 53. Расходы Управления капитального строительства в разрезе МП </w:t>
      </w:r>
    </w:p>
    <w:tbl>
      <w:tblPr>
        <w:tblW w:w="937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41"/>
        <w:gridCol w:w="4961"/>
        <w:gridCol w:w="1417"/>
        <w:gridCol w:w="1276"/>
        <w:gridCol w:w="1276"/>
      </w:tblGrid>
      <w:tr>
        <w:trPr>
          <w:trHeight w:val="928"/>
        </w:trPr>
        <w:tc>
          <w:tcPr>
            <w:tcW w:w="441" w:type="dxa"/>
            <w:shd w:val="clear" w:color="auto" w:fill="auto"/>
            <w:textDirection w:val="btLr"/>
            <w:vAlign w:val="center"/>
          </w:tcPr>
          <w:p>
            <w:pPr>
              <w:jc w:val="center"/>
            </w:pPr>
          </w:p>
          <w:p>
            <w:pPr>
              <w:jc w:val="center"/>
            </w:pPr>
            <w:r>
              <w:rPr>
                <w:lang w:val="en-US"/>
              </w:rPr>
              <w:t xml:space="preserve">№ </w:t>
            </w:r>
            <w:r>
              <w:t>п/п</w:t>
            </w:r>
          </w:p>
          <w:p>
            <w:pPr>
              <w:jc w:val="center"/>
            </w:pPr>
          </w:p>
        </w:tc>
        <w:tc>
          <w:tcPr>
            <w:tcW w:w="4961" w:type="dxa"/>
            <w:shd w:val="clear" w:color="auto" w:fill="auto"/>
            <w:vAlign w:val="center"/>
          </w:tcPr>
          <w:p>
            <w:pPr>
              <w:jc w:val="center"/>
            </w:pPr>
            <w:r>
              <w:t xml:space="preserve">Наименование программы </w:t>
            </w:r>
          </w:p>
        </w:tc>
        <w:tc>
          <w:tcPr>
            <w:tcW w:w="1417" w:type="dxa"/>
            <w:shd w:val="clear" w:color="auto" w:fill="auto"/>
            <w:vAlign w:val="center"/>
          </w:tcPr>
          <w:p>
            <w:pPr>
              <w:jc w:val="center"/>
            </w:pPr>
            <w:r>
              <w:t>Уточненный план 2019 г., тыс.руб.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ind w:right="-42"/>
              <w:jc w:val="center"/>
            </w:pPr>
            <w:r>
              <w:t xml:space="preserve">Исполнено </w:t>
            </w:r>
          </w:p>
          <w:p>
            <w:pPr>
              <w:ind w:right="-42"/>
              <w:jc w:val="center"/>
            </w:pPr>
            <w:r>
              <w:t>за 2019 г., тыс</w:t>
            </w:r>
            <w:proofErr w:type="gramStart"/>
            <w:r>
              <w:t>.р</w:t>
            </w:r>
            <w:proofErr w:type="gramEnd"/>
            <w:r>
              <w:t>уб.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ind w:left="-57" w:right="-57"/>
              <w:jc w:val="center"/>
            </w:pPr>
            <w:r>
              <w:t xml:space="preserve">Процент исполнения </w:t>
            </w:r>
          </w:p>
          <w:p>
            <w:pPr>
              <w:ind w:left="-57" w:right="-57"/>
              <w:jc w:val="center"/>
            </w:pPr>
            <w:r>
              <w:t>к плану</w:t>
            </w:r>
            <w:r>
              <w:br/>
              <w:t xml:space="preserve"> 2019 г.</w:t>
            </w:r>
          </w:p>
        </w:tc>
      </w:tr>
      <w:tr>
        <w:trPr>
          <w:trHeight w:val="255"/>
        </w:trPr>
        <w:tc>
          <w:tcPr>
            <w:tcW w:w="441" w:type="dxa"/>
            <w:shd w:val="clear" w:color="auto" w:fill="auto"/>
            <w:noWrap/>
            <w:vAlign w:val="center"/>
          </w:tcPr>
          <w:p>
            <w:pPr>
              <w:jc w:val="center"/>
            </w:pPr>
            <w:r>
              <w:t>1</w:t>
            </w:r>
          </w:p>
        </w:tc>
        <w:tc>
          <w:tcPr>
            <w:tcW w:w="4961" w:type="dxa"/>
            <w:shd w:val="clear" w:color="auto" w:fill="auto"/>
            <w:vAlign w:val="center"/>
          </w:tcPr>
          <w:p>
            <w:pPr>
              <w:jc w:val="center"/>
            </w:pPr>
            <w:r>
              <w:t>2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>
            <w:pPr>
              <w:jc w:val="center"/>
            </w:pPr>
            <w:r>
              <w:t>3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>
            <w:pPr>
              <w:jc w:val="center"/>
            </w:pPr>
            <w:r>
              <w:t>4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>
            <w:pPr>
              <w:jc w:val="center"/>
            </w:pPr>
            <w:r>
              <w:t>5</w:t>
            </w:r>
          </w:p>
        </w:tc>
      </w:tr>
      <w:tr>
        <w:trPr>
          <w:trHeight w:val="255"/>
        </w:trPr>
        <w:tc>
          <w:tcPr>
            <w:tcW w:w="441" w:type="dxa"/>
            <w:shd w:val="clear" w:color="auto" w:fill="auto"/>
            <w:noWrap/>
            <w:vAlign w:val="center"/>
          </w:tcPr>
          <w:p>
            <w:pPr>
              <w:jc w:val="center"/>
            </w:pPr>
            <w:r>
              <w:t>1</w:t>
            </w:r>
          </w:p>
        </w:tc>
        <w:tc>
          <w:tcPr>
            <w:tcW w:w="4961" w:type="dxa"/>
            <w:shd w:val="clear" w:color="auto" w:fill="auto"/>
            <w:vAlign w:val="center"/>
          </w:tcPr>
          <w:p>
            <w:r>
              <w:t>МП «Развитие физической культуры и спорта в ЗАТО Северск»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>
            <w:pPr>
              <w:jc w:val="right"/>
            </w:pPr>
            <w:r>
              <w:t>494,41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>
            <w:pPr>
              <w:jc w:val="right"/>
            </w:pPr>
            <w:r>
              <w:t>494,41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>
            <w:pPr>
              <w:jc w:val="center"/>
            </w:pPr>
            <w:r>
              <w:t>100,0</w:t>
            </w:r>
          </w:p>
        </w:tc>
      </w:tr>
      <w:tr>
        <w:trPr>
          <w:trHeight w:val="255"/>
        </w:trPr>
        <w:tc>
          <w:tcPr>
            <w:tcW w:w="441" w:type="dxa"/>
            <w:shd w:val="clear" w:color="auto" w:fill="auto"/>
            <w:noWrap/>
            <w:vAlign w:val="center"/>
          </w:tcPr>
          <w:p>
            <w:pPr>
              <w:jc w:val="center"/>
            </w:pPr>
            <w:r>
              <w:t>2</w:t>
            </w:r>
          </w:p>
        </w:tc>
        <w:tc>
          <w:tcPr>
            <w:tcW w:w="4961" w:type="dxa"/>
            <w:shd w:val="clear" w:color="auto" w:fill="auto"/>
            <w:vAlign w:val="center"/>
          </w:tcPr>
          <w:p>
            <w:r>
              <w:t>МП «Развитие культуры и туризма в ЗАТО Северск»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>
            <w:pPr>
              <w:jc w:val="right"/>
            </w:pPr>
            <w:r>
              <w:t>67 239,06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>
            <w:pPr>
              <w:jc w:val="right"/>
            </w:pPr>
            <w:r>
              <w:t>67 239,04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>
            <w:pPr>
              <w:jc w:val="center"/>
            </w:pPr>
            <w:r>
              <w:t>100,0</w:t>
            </w:r>
          </w:p>
        </w:tc>
      </w:tr>
      <w:tr>
        <w:trPr>
          <w:trHeight w:val="255"/>
        </w:trPr>
        <w:tc>
          <w:tcPr>
            <w:tcW w:w="441" w:type="dxa"/>
            <w:shd w:val="clear" w:color="auto" w:fill="auto"/>
            <w:noWrap/>
            <w:vAlign w:val="center"/>
          </w:tcPr>
          <w:p>
            <w:pPr>
              <w:jc w:val="center"/>
            </w:pPr>
            <w:r>
              <w:t>3</w:t>
            </w:r>
          </w:p>
        </w:tc>
        <w:tc>
          <w:tcPr>
            <w:tcW w:w="4961" w:type="dxa"/>
            <w:shd w:val="clear" w:color="auto" w:fill="auto"/>
            <w:vAlign w:val="center"/>
          </w:tcPr>
          <w:p>
            <w:r>
              <w:t>МП «Развитие образования в ЗАТО Северск»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>
            <w:pPr>
              <w:jc w:val="right"/>
            </w:pPr>
            <w:r>
              <w:t>935,34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>
            <w:pPr>
              <w:jc w:val="right"/>
            </w:pPr>
            <w:r>
              <w:t>373,90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>
            <w:pPr>
              <w:jc w:val="center"/>
            </w:pPr>
            <w:r>
              <w:t>40,0</w:t>
            </w:r>
          </w:p>
        </w:tc>
      </w:tr>
      <w:tr>
        <w:trPr>
          <w:trHeight w:val="255"/>
        </w:trPr>
        <w:tc>
          <w:tcPr>
            <w:tcW w:w="441" w:type="dxa"/>
            <w:shd w:val="clear" w:color="auto" w:fill="auto"/>
            <w:noWrap/>
            <w:vAlign w:val="center"/>
          </w:tcPr>
          <w:p>
            <w:pPr>
              <w:jc w:val="center"/>
            </w:pPr>
            <w:r>
              <w:t>4</w:t>
            </w:r>
          </w:p>
        </w:tc>
        <w:tc>
          <w:tcPr>
            <w:tcW w:w="4961" w:type="dxa"/>
            <w:shd w:val="clear" w:color="auto" w:fill="auto"/>
            <w:vAlign w:val="center"/>
          </w:tcPr>
          <w:p>
            <w:r>
              <w:t>МП «Улучшение качественного состояния объектов улично-дорожной сети, благоустройства и озеленения территории г.Северска»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>
            <w:pPr>
              <w:jc w:val="right"/>
            </w:pPr>
            <w:r>
              <w:t>260 087,44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>
            <w:pPr>
              <w:jc w:val="right"/>
            </w:pPr>
            <w:r>
              <w:t>258 232,11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>
            <w:pPr>
              <w:jc w:val="center"/>
            </w:pPr>
            <w:r>
              <w:t>99,3</w:t>
            </w:r>
          </w:p>
        </w:tc>
      </w:tr>
      <w:tr>
        <w:trPr>
          <w:trHeight w:val="255"/>
        </w:trPr>
        <w:tc>
          <w:tcPr>
            <w:tcW w:w="441" w:type="dxa"/>
            <w:shd w:val="clear" w:color="auto" w:fill="auto"/>
            <w:noWrap/>
            <w:vAlign w:val="center"/>
          </w:tcPr>
          <w:p>
            <w:pPr>
              <w:jc w:val="center"/>
            </w:pPr>
            <w:r>
              <w:t>5</w:t>
            </w:r>
          </w:p>
        </w:tc>
        <w:tc>
          <w:tcPr>
            <w:tcW w:w="4961" w:type="dxa"/>
            <w:shd w:val="clear" w:color="auto" w:fill="auto"/>
            <w:vAlign w:val="center"/>
          </w:tcPr>
          <w:p>
            <w:r>
              <w:t>МП «Повышение энергоэффективности в ЗАТО Северск»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>
            <w:pPr>
              <w:jc w:val="right"/>
            </w:pPr>
            <w:r>
              <w:t>2 175,99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>
            <w:pPr>
              <w:jc w:val="right"/>
            </w:pPr>
            <w:r>
              <w:t>2 175,99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>
            <w:pPr>
              <w:jc w:val="center"/>
            </w:pPr>
            <w:r>
              <w:t>100,0</w:t>
            </w:r>
          </w:p>
        </w:tc>
      </w:tr>
      <w:tr>
        <w:trPr>
          <w:trHeight w:val="255"/>
        </w:trPr>
        <w:tc>
          <w:tcPr>
            <w:tcW w:w="441" w:type="dxa"/>
            <w:shd w:val="clear" w:color="auto" w:fill="auto"/>
            <w:noWrap/>
            <w:vAlign w:val="center"/>
          </w:tcPr>
          <w:p>
            <w:pPr>
              <w:jc w:val="center"/>
            </w:pPr>
            <w:r>
              <w:t>6</w:t>
            </w:r>
          </w:p>
        </w:tc>
        <w:tc>
          <w:tcPr>
            <w:tcW w:w="4961" w:type="dxa"/>
            <w:shd w:val="clear" w:color="auto" w:fill="auto"/>
            <w:vAlign w:val="center"/>
          </w:tcPr>
          <w:p>
            <w:r>
              <w:t>МП «Обеспечение безопасности населения на территории ЗАТО Северск»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>
            <w:pPr>
              <w:jc w:val="right"/>
            </w:pPr>
            <w:r>
              <w:t>680,63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>
            <w:pPr>
              <w:jc w:val="right"/>
            </w:pPr>
            <w:r>
              <w:t>419,97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>
            <w:pPr>
              <w:jc w:val="center"/>
            </w:pPr>
            <w:r>
              <w:t>61,7</w:t>
            </w:r>
          </w:p>
        </w:tc>
      </w:tr>
      <w:tr>
        <w:trPr>
          <w:trHeight w:val="436"/>
        </w:trPr>
        <w:tc>
          <w:tcPr>
            <w:tcW w:w="441" w:type="dxa"/>
            <w:shd w:val="clear" w:color="auto" w:fill="auto"/>
            <w:noWrap/>
            <w:vAlign w:val="center"/>
          </w:tcPr>
          <w:p>
            <w:pPr>
              <w:jc w:val="center"/>
            </w:pPr>
            <w:r>
              <w:t>7</w:t>
            </w:r>
          </w:p>
        </w:tc>
        <w:tc>
          <w:tcPr>
            <w:tcW w:w="4961" w:type="dxa"/>
            <w:shd w:val="clear" w:color="auto" w:fill="auto"/>
            <w:vAlign w:val="center"/>
          </w:tcPr>
          <w:p>
            <w:r>
              <w:t>МП «Эффективное управление муниципальным имуществом ЗАТО Северск»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>
            <w:pPr>
              <w:jc w:val="right"/>
            </w:pPr>
            <w:r>
              <w:t>4 858,88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>
            <w:pPr>
              <w:jc w:val="right"/>
            </w:pPr>
            <w:r>
              <w:t>4 858,88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>
            <w:pPr>
              <w:jc w:val="center"/>
            </w:pPr>
            <w:r>
              <w:t>100,0</w:t>
            </w:r>
          </w:p>
        </w:tc>
      </w:tr>
      <w:tr>
        <w:trPr>
          <w:trHeight w:val="255"/>
        </w:trPr>
        <w:tc>
          <w:tcPr>
            <w:tcW w:w="441" w:type="dxa"/>
            <w:shd w:val="clear" w:color="auto" w:fill="auto"/>
            <w:noWrap/>
            <w:vAlign w:val="center"/>
          </w:tcPr>
          <w:p>
            <w:pPr>
              <w:jc w:val="center"/>
            </w:pPr>
            <w:r>
              <w:t>8</w:t>
            </w:r>
          </w:p>
        </w:tc>
        <w:tc>
          <w:tcPr>
            <w:tcW w:w="4961" w:type="dxa"/>
            <w:shd w:val="clear" w:color="auto" w:fill="auto"/>
            <w:vAlign w:val="center"/>
          </w:tcPr>
          <w:p>
            <w:r>
              <w:t>МП «Формирование современной городской среды ЗАТО Северск»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>
            <w:pPr>
              <w:jc w:val="right"/>
            </w:pPr>
            <w:r>
              <w:t>70 374,36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>
            <w:pPr>
              <w:jc w:val="right"/>
            </w:pPr>
            <w:r>
              <w:t>70 374,36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>
            <w:pPr>
              <w:jc w:val="center"/>
            </w:pPr>
            <w:r>
              <w:t>100,0</w:t>
            </w:r>
          </w:p>
        </w:tc>
      </w:tr>
      <w:tr>
        <w:trPr>
          <w:trHeight w:val="255"/>
        </w:trPr>
        <w:tc>
          <w:tcPr>
            <w:tcW w:w="441" w:type="dxa"/>
            <w:shd w:val="clear" w:color="auto" w:fill="auto"/>
            <w:noWrap/>
            <w:vAlign w:val="center"/>
          </w:tcPr>
          <w:p>
            <w:pPr>
              <w:jc w:val="center"/>
            </w:pPr>
            <w:r>
              <w:lastRenderedPageBreak/>
              <w:t>1</w:t>
            </w:r>
          </w:p>
        </w:tc>
        <w:tc>
          <w:tcPr>
            <w:tcW w:w="4961" w:type="dxa"/>
            <w:shd w:val="clear" w:color="auto" w:fill="auto"/>
            <w:vAlign w:val="center"/>
          </w:tcPr>
          <w:p>
            <w:pPr>
              <w:jc w:val="center"/>
            </w:pPr>
            <w:r>
              <w:t>2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>
            <w:pPr>
              <w:jc w:val="center"/>
            </w:pPr>
            <w:r>
              <w:t>3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>
            <w:pPr>
              <w:jc w:val="center"/>
            </w:pPr>
            <w:r>
              <w:t>4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>
            <w:pPr>
              <w:jc w:val="center"/>
            </w:pPr>
            <w:r>
              <w:t>5</w:t>
            </w:r>
          </w:p>
        </w:tc>
      </w:tr>
      <w:tr>
        <w:trPr>
          <w:trHeight w:val="255"/>
        </w:trPr>
        <w:tc>
          <w:tcPr>
            <w:tcW w:w="441" w:type="dxa"/>
            <w:shd w:val="clear" w:color="auto" w:fill="auto"/>
            <w:noWrap/>
            <w:vAlign w:val="center"/>
          </w:tcPr>
          <w:p>
            <w:pPr>
              <w:jc w:val="center"/>
            </w:pPr>
            <w:r>
              <w:t>9</w:t>
            </w:r>
          </w:p>
        </w:tc>
        <w:tc>
          <w:tcPr>
            <w:tcW w:w="4961" w:type="dxa"/>
            <w:shd w:val="clear" w:color="auto" w:fill="auto"/>
            <w:vAlign w:val="center"/>
          </w:tcPr>
          <w:p>
            <w:r>
              <w:t>Программа «Комплексное развитие систем коммунальной и инженерной инфраструктуры ЗАТО Северск» на 2013 год и на перспективу до 2035 года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>
            <w:pPr>
              <w:jc w:val="right"/>
            </w:pPr>
            <w:r>
              <w:t>63 405,82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>
            <w:pPr>
              <w:jc w:val="right"/>
            </w:pPr>
            <w:r>
              <w:t>61 613,21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>
            <w:pPr>
              <w:jc w:val="center"/>
            </w:pPr>
            <w:r>
              <w:t>97,2</w:t>
            </w:r>
          </w:p>
        </w:tc>
      </w:tr>
      <w:tr>
        <w:trPr>
          <w:trHeight w:val="255"/>
        </w:trPr>
        <w:tc>
          <w:tcPr>
            <w:tcW w:w="441" w:type="dxa"/>
            <w:shd w:val="clear" w:color="auto" w:fill="auto"/>
            <w:noWrap/>
            <w:vAlign w:val="center"/>
          </w:tcPr>
          <w:p>
            <w:pPr>
              <w:jc w:val="center"/>
            </w:pPr>
            <w:r>
              <w:t>10</w:t>
            </w:r>
          </w:p>
        </w:tc>
        <w:tc>
          <w:tcPr>
            <w:tcW w:w="4961" w:type="dxa"/>
            <w:shd w:val="clear" w:color="auto" w:fill="auto"/>
            <w:vAlign w:val="center"/>
          </w:tcPr>
          <w:p>
            <w:r>
              <w:t>МП «Развитие предпринимательства в ЗАТО Северск»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>
            <w:pPr>
              <w:jc w:val="right"/>
            </w:pPr>
            <w:r>
              <w:t>6 652,60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>
            <w:pPr>
              <w:jc w:val="right"/>
            </w:pPr>
            <w: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>
            <w:pPr>
              <w:jc w:val="center"/>
            </w:pPr>
            <w:r>
              <w:t>-</w:t>
            </w:r>
          </w:p>
        </w:tc>
      </w:tr>
    </w:tbl>
    <w:p>
      <w:pPr>
        <w:spacing w:before="120" w:after="120"/>
        <w:ind w:firstLine="709"/>
        <w:jc w:val="both"/>
        <w:rPr>
          <w:rFonts w:eastAsia="Calibri"/>
          <w:sz w:val="24"/>
          <w:szCs w:val="24"/>
        </w:rPr>
      </w:pPr>
      <w:r>
        <w:rPr>
          <w:rStyle w:val="16"/>
          <w:rFonts w:eastAsia="Calibri"/>
          <w:sz w:val="24"/>
          <w:szCs w:val="24"/>
          <w:u w:val="none"/>
        </w:rPr>
        <w:t>В разрезе разделов функциональной классификации и</w:t>
      </w:r>
      <w:r>
        <w:rPr>
          <w:rFonts w:eastAsia="Calibri"/>
          <w:sz w:val="24"/>
          <w:szCs w:val="24"/>
        </w:rPr>
        <w:t xml:space="preserve">сполнение расходов УКС Администрации ЗАТО Северск осуществляется по 5 разделам: </w:t>
      </w:r>
    </w:p>
    <w:p>
      <w:pPr>
        <w:spacing w:before="120" w:after="120"/>
        <w:ind w:right="57" w:firstLine="709"/>
        <w:jc w:val="both"/>
        <w:rPr>
          <w:sz w:val="24"/>
          <w:szCs w:val="24"/>
        </w:rPr>
      </w:pPr>
      <w:r>
        <w:rPr>
          <w:sz w:val="24"/>
          <w:szCs w:val="24"/>
        </w:rPr>
        <w:t>Таблица 54. Расходы УКС по разделам  за 2019 год</w:t>
      </w:r>
    </w:p>
    <w:tbl>
      <w:tblPr>
        <w:tblW w:w="9356" w:type="dxa"/>
        <w:tblInd w:w="108" w:type="dxa"/>
        <w:tblLayout w:type="fixed"/>
        <w:tblLook w:val="04A0"/>
      </w:tblPr>
      <w:tblGrid>
        <w:gridCol w:w="720"/>
        <w:gridCol w:w="4667"/>
        <w:gridCol w:w="1417"/>
        <w:gridCol w:w="1276"/>
        <w:gridCol w:w="1276"/>
      </w:tblGrid>
      <w:tr>
        <w:trPr>
          <w:trHeight w:val="95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>
            <w:pPr>
              <w:jc w:val="center"/>
            </w:pPr>
            <w:r>
              <w:t>Раздел, подраздел</w:t>
            </w:r>
          </w:p>
        </w:tc>
        <w:tc>
          <w:tcPr>
            <w:tcW w:w="4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</w:pPr>
            <w:r>
              <w:t>Наименование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</w:pPr>
            <w:r>
              <w:t>Уточненный план</w:t>
            </w:r>
            <w:r>
              <w:br/>
              <w:t>2019 г., тыс.руб.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right="-42"/>
              <w:jc w:val="center"/>
            </w:pPr>
            <w:r>
              <w:t xml:space="preserve">Исполнено </w:t>
            </w:r>
          </w:p>
          <w:p>
            <w:pPr>
              <w:ind w:right="-42"/>
              <w:jc w:val="center"/>
            </w:pPr>
            <w:r>
              <w:t>за 2019 г., тыс</w:t>
            </w:r>
            <w:proofErr w:type="gramStart"/>
            <w:r>
              <w:t>.р</w:t>
            </w:r>
            <w:proofErr w:type="gramEnd"/>
            <w:r>
              <w:t>уб.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t xml:space="preserve">Процент </w:t>
            </w:r>
          </w:p>
          <w:p>
            <w:pPr>
              <w:jc w:val="center"/>
            </w:pPr>
            <w:r>
              <w:t xml:space="preserve">исполнения </w:t>
            </w:r>
          </w:p>
          <w:p>
            <w:pPr>
              <w:jc w:val="center"/>
            </w:pPr>
            <w:r>
              <w:t>к плану</w:t>
            </w:r>
            <w:r>
              <w:br/>
              <w:t xml:space="preserve"> 2019 г.</w:t>
            </w:r>
          </w:p>
        </w:tc>
      </w:tr>
      <w:tr>
        <w:trPr>
          <w:trHeight w:val="284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center"/>
            </w:pPr>
          </w:p>
        </w:tc>
        <w:tc>
          <w:tcPr>
            <w:tcW w:w="4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r>
              <w:t>Управление капитального строительства: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jc w:val="right"/>
            </w:pPr>
            <w:r>
              <w:t>476 912,54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jc w:val="right"/>
            </w:pPr>
            <w:r>
              <w:t>465 789,85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>
            <w:pPr>
              <w:jc w:val="center"/>
            </w:pPr>
            <w:r>
              <w:t>97,7</w:t>
            </w:r>
          </w:p>
        </w:tc>
      </w:tr>
      <w:tr>
        <w:trPr>
          <w:trHeight w:val="284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center"/>
            </w:pPr>
            <w:r>
              <w:t>0100</w:t>
            </w:r>
          </w:p>
        </w:tc>
        <w:tc>
          <w:tcPr>
            <w:tcW w:w="4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r>
              <w:t>Общегосударственные вопросы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right"/>
            </w:pPr>
            <w:r>
              <w:t>4 866,88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right"/>
            </w:pPr>
            <w:r>
              <w:t>4 886,86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t>100,0</w:t>
            </w:r>
          </w:p>
        </w:tc>
      </w:tr>
      <w:tr>
        <w:trPr>
          <w:trHeight w:val="284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center"/>
            </w:pPr>
            <w:r>
              <w:t>0400</w:t>
            </w:r>
          </w:p>
        </w:tc>
        <w:tc>
          <w:tcPr>
            <w:tcW w:w="4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r>
              <w:t>Национальная экономика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right"/>
            </w:pPr>
            <w:r>
              <w:t>221 277,08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right"/>
            </w:pPr>
            <w:r>
              <w:t>213 769,16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t>96,6</w:t>
            </w:r>
          </w:p>
        </w:tc>
      </w:tr>
      <w:tr>
        <w:trPr>
          <w:trHeight w:val="284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center"/>
            </w:pPr>
            <w:r>
              <w:t>0500</w:t>
            </w:r>
          </w:p>
        </w:tc>
        <w:tc>
          <w:tcPr>
            <w:tcW w:w="4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r>
              <w:t>Жилищно-коммунальное хозяйство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right"/>
            </w:pPr>
            <w:r>
              <w:t>181 839,11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right"/>
            </w:pPr>
            <w:r>
              <w:t>179 046,48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t>98,5</w:t>
            </w:r>
          </w:p>
        </w:tc>
      </w:tr>
      <w:tr>
        <w:trPr>
          <w:trHeight w:val="284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center"/>
            </w:pPr>
            <w:r>
              <w:t>0700</w:t>
            </w:r>
          </w:p>
        </w:tc>
        <w:tc>
          <w:tcPr>
            <w:tcW w:w="4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autoSpaceDE w:val="0"/>
              <w:autoSpaceDN w:val="0"/>
              <w:adjustRightInd w:val="0"/>
              <w:jc w:val="both"/>
              <w:outlineLvl w:val="4"/>
            </w:pPr>
            <w:r>
              <w:t>Образование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right"/>
            </w:pPr>
            <w:r>
              <w:t>1 512,34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right"/>
            </w:pPr>
            <w:r>
              <w:t>950,89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t>62,9</w:t>
            </w:r>
          </w:p>
        </w:tc>
      </w:tr>
      <w:tr>
        <w:trPr>
          <w:trHeight w:val="284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shd w:val="clear" w:color="auto" w:fill="FFFFFF"/>
              <w:jc w:val="center"/>
            </w:pPr>
            <w:r>
              <w:t>0800</w:t>
            </w:r>
          </w:p>
        </w:tc>
        <w:tc>
          <w:tcPr>
            <w:tcW w:w="4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r>
              <w:t>Культура и кинематография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right"/>
            </w:pPr>
            <w:r>
              <w:t>67 417,13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>
            <w:pPr>
              <w:jc w:val="right"/>
            </w:pPr>
            <w:r>
              <w:t>67 156,46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  <w:r>
              <w:t>99,6</w:t>
            </w:r>
          </w:p>
        </w:tc>
      </w:tr>
    </w:tbl>
    <w:p>
      <w:pPr>
        <w:pStyle w:val="31"/>
        <w:ind w:right="-2" w:firstLine="709"/>
        <w:rPr>
          <w:sz w:val="10"/>
          <w:szCs w:val="10"/>
        </w:rPr>
      </w:pP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Управлением капитального строительства за 2019 год исполнялись непрограммные расходы в общей сумме 7,98 тыс. руб. за счет средств местного бюджета (исполнение судебных актов).</w:t>
      </w:r>
    </w:p>
    <w:p>
      <w:pPr>
        <w:ind w:firstLine="709"/>
        <w:jc w:val="both"/>
        <w:rPr>
          <w:sz w:val="28"/>
          <w:szCs w:val="28"/>
          <w:highlight w:val="yellow"/>
        </w:rPr>
      </w:pPr>
    </w:p>
    <w:p>
      <w:pPr>
        <w:pStyle w:val="3"/>
        <w:spacing w:before="0" w:after="0" w:line="264" w:lineRule="auto"/>
        <w:ind w:right="28" w:firstLine="709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4.2.13. Управление по внегородским территориям</w:t>
      </w:r>
    </w:p>
    <w:p>
      <w:pPr>
        <w:pStyle w:val="3"/>
        <w:spacing w:before="0" w:after="200" w:line="264" w:lineRule="auto"/>
        <w:ind w:right="28" w:firstLine="709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Администрации ЗАТО Северск</w:t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Кассовое исполнение расходов за 2019 год составило 48 771,79 тыс. руб. или 99,0% к утвержденным годовым назначениям. </w:t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общей структуре произведенных расходов удельный вес расходов, подведомственных </w:t>
      </w:r>
      <w:r>
        <w:rPr>
          <w:color w:val="000000"/>
          <w:sz w:val="24"/>
          <w:szCs w:val="24"/>
        </w:rPr>
        <w:t>Управлению по внегородским территориям Администрации ЗАТО Северск</w:t>
      </w:r>
      <w:r>
        <w:rPr>
          <w:sz w:val="24"/>
          <w:szCs w:val="24"/>
        </w:rPr>
        <w:t xml:space="preserve"> (далее - УВГТ) составил 1,1%. </w:t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УВГТ является ответственным исполнителем одной м</w:t>
      </w:r>
      <w:r>
        <w:rPr>
          <w:bCs/>
          <w:sz w:val="24"/>
          <w:szCs w:val="24"/>
        </w:rPr>
        <w:t xml:space="preserve">униципальной программы «Улучшение жизнедеятельности внегородских территорий ЗАТО Северск» </w:t>
      </w:r>
      <w:r>
        <w:rPr>
          <w:sz w:val="24"/>
          <w:szCs w:val="24"/>
        </w:rPr>
        <w:t>и участником двух муниципальных программ.</w:t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УВГТ за 2019 год </w:t>
      </w:r>
      <w:r>
        <w:rPr>
          <w:spacing w:val="-4"/>
          <w:sz w:val="24"/>
          <w:szCs w:val="24"/>
        </w:rPr>
        <w:t>исполнены три муниципальные программы «</w:t>
      </w:r>
      <w:r>
        <w:rPr>
          <w:bCs/>
          <w:sz w:val="24"/>
          <w:szCs w:val="24"/>
        </w:rPr>
        <w:t xml:space="preserve">Улучшение жизнедеятельности внегородских территорий ЗАТО Северск», </w:t>
      </w:r>
      <w:r>
        <w:rPr>
          <w:sz w:val="24"/>
          <w:szCs w:val="24"/>
        </w:rPr>
        <w:t>«Охрана окружающей среды на территории ЗАТО Северск»</w:t>
      </w:r>
      <w:r>
        <w:rPr>
          <w:spacing w:val="-4"/>
          <w:sz w:val="24"/>
          <w:szCs w:val="24"/>
        </w:rPr>
        <w:t xml:space="preserve"> и «Обеспечение безопасности населения на территории ЗАТО Северск» на общую сумму </w:t>
      </w:r>
      <w:r>
        <w:rPr>
          <w:sz w:val="24"/>
          <w:szCs w:val="24"/>
        </w:rPr>
        <w:t>48 771,79 </w:t>
      </w:r>
      <w:r>
        <w:rPr>
          <w:spacing w:val="-4"/>
          <w:sz w:val="24"/>
          <w:szCs w:val="24"/>
        </w:rPr>
        <w:t xml:space="preserve">тыс. руб. </w:t>
      </w:r>
      <w:r>
        <w:rPr>
          <w:sz w:val="24"/>
          <w:szCs w:val="24"/>
        </w:rPr>
        <w:t xml:space="preserve">или 99,0% к утвержденным годовым назначениям. </w:t>
      </w:r>
    </w:p>
    <w:p>
      <w:pPr>
        <w:spacing w:before="120" w:after="120"/>
        <w:ind w:right="57" w:firstLine="709"/>
        <w:jc w:val="both"/>
        <w:rPr>
          <w:bCs/>
          <w:sz w:val="24"/>
          <w:szCs w:val="24"/>
        </w:rPr>
      </w:pPr>
      <w:r>
        <w:rPr>
          <w:spacing w:val="-4"/>
          <w:sz w:val="24"/>
          <w:szCs w:val="24"/>
        </w:rPr>
        <w:t>Таблица 55. Расходы УВГТ в разрезе МП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9"/>
        <w:gridCol w:w="4469"/>
        <w:gridCol w:w="1559"/>
        <w:gridCol w:w="1418"/>
        <w:gridCol w:w="1559"/>
      </w:tblGrid>
      <w:tr>
        <w:trPr>
          <w:cantSplit/>
          <w:trHeight w:val="952"/>
        </w:trPr>
        <w:tc>
          <w:tcPr>
            <w:tcW w:w="459" w:type="dxa"/>
            <w:textDirection w:val="btLr"/>
            <w:vAlign w:val="center"/>
          </w:tcPr>
          <w:p>
            <w:pPr>
              <w:ind w:left="113" w:right="55"/>
              <w:jc w:val="center"/>
              <w:rPr>
                <w:bCs/>
              </w:rPr>
            </w:pPr>
            <w:r>
              <w:rPr>
                <w:lang w:val="en-US"/>
              </w:rPr>
              <w:t xml:space="preserve">№ </w:t>
            </w:r>
            <w:r>
              <w:t>п/п</w:t>
            </w:r>
          </w:p>
        </w:tc>
        <w:tc>
          <w:tcPr>
            <w:tcW w:w="4469" w:type="dxa"/>
            <w:vAlign w:val="center"/>
          </w:tcPr>
          <w:p>
            <w:pPr>
              <w:ind w:right="55"/>
              <w:jc w:val="center"/>
              <w:rPr>
                <w:bCs/>
              </w:rPr>
            </w:pPr>
            <w:r>
              <w:t>Наименование программы</w:t>
            </w:r>
          </w:p>
        </w:tc>
        <w:tc>
          <w:tcPr>
            <w:tcW w:w="1559" w:type="dxa"/>
            <w:vAlign w:val="center"/>
          </w:tcPr>
          <w:p>
            <w:pPr>
              <w:jc w:val="center"/>
            </w:pPr>
            <w:r>
              <w:t xml:space="preserve">Уточненный план 2019 г., </w:t>
            </w:r>
          </w:p>
          <w:p>
            <w:pPr>
              <w:jc w:val="center"/>
            </w:pPr>
            <w:r>
              <w:t>тыс. руб.</w:t>
            </w:r>
          </w:p>
        </w:tc>
        <w:tc>
          <w:tcPr>
            <w:tcW w:w="1418" w:type="dxa"/>
            <w:vAlign w:val="center"/>
          </w:tcPr>
          <w:p>
            <w:pPr>
              <w:ind w:right="-42"/>
              <w:jc w:val="center"/>
            </w:pPr>
            <w:r>
              <w:t xml:space="preserve">Исполнено </w:t>
            </w:r>
          </w:p>
          <w:p>
            <w:pPr>
              <w:ind w:right="-42"/>
              <w:jc w:val="center"/>
            </w:pPr>
            <w:r>
              <w:t xml:space="preserve">за 2019 г., </w:t>
            </w:r>
          </w:p>
          <w:p>
            <w:pPr>
              <w:ind w:right="-42"/>
              <w:jc w:val="center"/>
            </w:pPr>
            <w:r>
              <w:t>тыс. руб.</w:t>
            </w:r>
          </w:p>
        </w:tc>
        <w:tc>
          <w:tcPr>
            <w:tcW w:w="1559" w:type="dxa"/>
            <w:vAlign w:val="center"/>
          </w:tcPr>
          <w:p>
            <w:pPr>
              <w:jc w:val="center"/>
            </w:pPr>
            <w:r>
              <w:t>% исполнения</w:t>
            </w:r>
          </w:p>
          <w:p>
            <w:pPr>
              <w:jc w:val="center"/>
            </w:pPr>
            <w:r>
              <w:t>к плану 2019 г.</w:t>
            </w:r>
          </w:p>
        </w:tc>
      </w:tr>
      <w:tr>
        <w:trPr>
          <w:trHeight w:val="566"/>
        </w:trPr>
        <w:tc>
          <w:tcPr>
            <w:tcW w:w="459" w:type="dxa"/>
            <w:vAlign w:val="center"/>
          </w:tcPr>
          <w:p>
            <w:pPr>
              <w:jc w:val="center"/>
            </w:pPr>
            <w:r>
              <w:t>1</w:t>
            </w:r>
          </w:p>
        </w:tc>
        <w:tc>
          <w:tcPr>
            <w:tcW w:w="4469" w:type="dxa"/>
            <w:vAlign w:val="center"/>
          </w:tcPr>
          <w:p>
            <w:r>
              <w:t xml:space="preserve">МП «Улучшение жизнедеятельности внегородских </w:t>
            </w:r>
            <w:proofErr w:type="gramStart"/>
            <w:r>
              <w:t>территорий</w:t>
            </w:r>
            <w:proofErr w:type="gramEnd"/>
            <w:r>
              <w:t xml:space="preserve"> ЗАТО Северск»  </w:t>
            </w:r>
          </w:p>
        </w:tc>
        <w:tc>
          <w:tcPr>
            <w:tcW w:w="1559" w:type="dxa"/>
            <w:vAlign w:val="center"/>
          </w:tcPr>
          <w:p>
            <w:pPr>
              <w:jc w:val="right"/>
            </w:pPr>
            <w:r>
              <w:t>47 223,88</w:t>
            </w:r>
          </w:p>
        </w:tc>
        <w:tc>
          <w:tcPr>
            <w:tcW w:w="1418" w:type="dxa"/>
            <w:vAlign w:val="center"/>
          </w:tcPr>
          <w:p>
            <w:pPr>
              <w:jc w:val="right"/>
            </w:pPr>
            <w:r>
              <w:t>46 754,95</w:t>
            </w:r>
          </w:p>
        </w:tc>
        <w:tc>
          <w:tcPr>
            <w:tcW w:w="1559" w:type="dxa"/>
            <w:vAlign w:val="center"/>
          </w:tcPr>
          <w:p>
            <w:pPr>
              <w:jc w:val="center"/>
              <w:rPr>
                <w:highlight w:val="yellow"/>
              </w:rPr>
            </w:pPr>
            <w:r>
              <w:t>99,0</w:t>
            </w:r>
          </w:p>
        </w:tc>
      </w:tr>
      <w:tr>
        <w:trPr>
          <w:trHeight w:val="560"/>
        </w:trPr>
        <w:tc>
          <w:tcPr>
            <w:tcW w:w="459" w:type="dxa"/>
            <w:vAlign w:val="center"/>
          </w:tcPr>
          <w:p>
            <w:pPr>
              <w:jc w:val="center"/>
            </w:pPr>
            <w:r>
              <w:t>2</w:t>
            </w:r>
          </w:p>
        </w:tc>
        <w:tc>
          <w:tcPr>
            <w:tcW w:w="4469" w:type="dxa"/>
            <w:vAlign w:val="center"/>
          </w:tcPr>
          <w:p>
            <w:r>
              <w:t xml:space="preserve">МП «Охрана окружающей среды </w:t>
            </w:r>
          </w:p>
          <w:p>
            <w:r>
              <w:t xml:space="preserve">на </w:t>
            </w:r>
            <w:proofErr w:type="gramStart"/>
            <w:r>
              <w:t>территории</w:t>
            </w:r>
            <w:proofErr w:type="gramEnd"/>
            <w:r>
              <w:t xml:space="preserve"> ЗАТО Северск» </w:t>
            </w:r>
          </w:p>
        </w:tc>
        <w:tc>
          <w:tcPr>
            <w:tcW w:w="1559" w:type="dxa"/>
            <w:vAlign w:val="center"/>
          </w:tcPr>
          <w:p>
            <w:pPr>
              <w:jc w:val="right"/>
            </w:pPr>
            <w:r>
              <w:t>490,68</w:t>
            </w:r>
          </w:p>
        </w:tc>
        <w:tc>
          <w:tcPr>
            <w:tcW w:w="1418" w:type="dxa"/>
            <w:vAlign w:val="center"/>
          </w:tcPr>
          <w:p>
            <w:pPr>
              <w:jc w:val="right"/>
            </w:pPr>
            <w:r>
              <w:t>490,62</w:t>
            </w:r>
          </w:p>
        </w:tc>
        <w:tc>
          <w:tcPr>
            <w:tcW w:w="1559" w:type="dxa"/>
            <w:vAlign w:val="center"/>
          </w:tcPr>
          <w:p>
            <w:pPr>
              <w:jc w:val="center"/>
            </w:pPr>
            <w:r>
              <w:t>99,9</w:t>
            </w:r>
          </w:p>
        </w:tc>
      </w:tr>
      <w:tr>
        <w:trPr>
          <w:trHeight w:val="554"/>
        </w:trPr>
        <w:tc>
          <w:tcPr>
            <w:tcW w:w="459" w:type="dxa"/>
            <w:vAlign w:val="center"/>
          </w:tcPr>
          <w:p>
            <w:pPr>
              <w:jc w:val="center"/>
            </w:pPr>
            <w:r>
              <w:t>3</w:t>
            </w:r>
          </w:p>
        </w:tc>
        <w:tc>
          <w:tcPr>
            <w:tcW w:w="4469" w:type="dxa"/>
            <w:vAlign w:val="center"/>
          </w:tcPr>
          <w:p>
            <w:r>
              <w:t>МП «</w:t>
            </w:r>
            <w:r>
              <w:rPr>
                <w:spacing w:val="-4"/>
              </w:rPr>
              <w:t>Обеспечение безопасности населения на территории ЗАТО Северск</w:t>
            </w:r>
            <w:r>
              <w:t xml:space="preserve">» </w:t>
            </w:r>
          </w:p>
        </w:tc>
        <w:tc>
          <w:tcPr>
            <w:tcW w:w="1559" w:type="dxa"/>
            <w:vAlign w:val="center"/>
          </w:tcPr>
          <w:p>
            <w:pPr>
              <w:jc w:val="right"/>
            </w:pPr>
            <w:r>
              <w:t>1 526,47</w:t>
            </w:r>
          </w:p>
        </w:tc>
        <w:tc>
          <w:tcPr>
            <w:tcW w:w="1418" w:type="dxa"/>
            <w:vAlign w:val="center"/>
          </w:tcPr>
          <w:p>
            <w:pPr>
              <w:jc w:val="right"/>
            </w:pPr>
            <w:r>
              <w:t>1 526,22</w:t>
            </w:r>
          </w:p>
        </w:tc>
        <w:tc>
          <w:tcPr>
            <w:tcW w:w="1559" w:type="dxa"/>
            <w:vAlign w:val="center"/>
          </w:tcPr>
          <w:p>
            <w:pPr>
              <w:jc w:val="center"/>
              <w:rPr>
                <w:highlight w:val="yellow"/>
              </w:rPr>
            </w:pPr>
            <w:r>
              <w:t>99,9</w:t>
            </w:r>
          </w:p>
        </w:tc>
      </w:tr>
    </w:tbl>
    <w:p>
      <w:pPr>
        <w:pStyle w:val="31"/>
        <w:tabs>
          <w:tab w:val="clear" w:pos="5529"/>
          <w:tab w:val="left" w:pos="709"/>
        </w:tabs>
        <w:spacing w:before="120"/>
        <w:ind w:right="0"/>
        <w:rPr>
          <w:spacing w:val="-4"/>
          <w:sz w:val="24"/>
          <w:szCs w:val="24"/>
          <w:highlight w:val="yellow"/>
        </w:rPr>
      </w:pPr>
    </w:p>
    <w:p>
      <w:pPr>
        <w:spacing w:before="120" w:after="60"/>
        <w:ind w:firstLine="709"/>
        <w:jc w:val="both"/>
        <w:rPr>
          <w:sz w:val="24"/>
          <w:szCs w:val="24"/>
        </w:rPr>
      </w:pPr>
    </w:p>
    <w:p>
      <w:pPr>
        <w:spacing w:before="120" w:after="6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Таблица 56. Расходы УВГТ по разделам за 2019 год</w:t>
      </w:r>
    </w:p>
    <w:tbl>
      <w:tblPr>
        <w:tblW w:w="937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656"/>
        <w:gridCol w:w="4179"/>
        <w:gridCol w:w="1559"/>
        <w:gridCol w:w="1418"/>
        <w:gridCol w:w="1559"/>
      </w:tblGrid>
      <w:tr>
        <w:trPr>
          <w:trHeight w:val="935"/>
        </w:trPr>
        <w:tc>
          <w:tcPr>
            <w:tcW w:w="656" w:type="dxa"/>
            <w:shd w:val="clear" w:color="auto" w:fill="FFFFFF"/>
            <w:noWrap/>
            <w:textDirection w:val="btLr"/>
            <w:vAlign w:val="center"/>
          </w:tcPr>
          <w:p>
            <w:pPr>
              <w:jc w:val="center"/>
            </w:pPr>
            <w:r>
              <w:t>Раздел, подраздел</w:t>
            </w:r>
          </w:p>
        </w:tc>
        <w:tc>
          <w:tcPr>
            <w:tcW w:w="4179" w:type="dxa"/>
            <w:shd w:val="clear" w:color="auto" w:fill="FFFFFF"/>
            <w:vAlign w:val="center"/>
          </w:tcPr>
          <w:p>
            <w:pPr>
              <w:ind w:left="-57" w:right="-57"/>
              <w:jc w:val="center"/>
            </w:pPr>
            <w:r>
              <w:t>Наименование</w:t>
            </w:r>
          </w:p>
        </w:tc>
        <w:tc>
          <w:tcPr>
            <w:tcW w:w="1559" w:type="dxa"/>
            <w:shd w:val="clear" w:color="auto" w:fill="FFFFFF"/>
            <w:vAlign w:val="center"/>
          </w:tcPr>
          <w:p>
            <w:pPr>
              <w:ind w:left="-57" w:right="-57"/>
              <w:jc w:val="center"/>
            </w:pPr>
            <w:r>
              <w:t xml:space="preserve">Уточненный план 2019 г., </w:t>
            </w:r>
          </w:p>
          <w:p>
            <w:pPr>
              <w:ind w:left="-57" w:right="-57"/>
              <w:jc w:val="center"/>
            </w:pPr>
            <w:r>
              <w:t>тыс. руб.</w:t>
            </w:r>
          </w:p>
        </w:tc>
        <w:tc>
          <w:tcPr>
            <w:tcW w:w="1418" w:type="dxa"/>
            <w:shd w:val="clear" w:color="auto" w:fill="FFFFFF"/>
            <w:vAlign w:val="center"/>
          </w:tcPr>
          <w:p>
            <w:pPr>
              <w:ind w:left="-57" w:right="-57"/>
              <w:jc w:val="center"/>
            </w:pPr>
            <w:r>
              <w:t xml:space="preserve">Исполнено </w:t>
            </w:r>
          </w:p>
          <w:p>
            <w:pPr>
              <w:ind w:left="-57" w:right="-57"/>
              <w:jc w:val="center"/>
            </w:pPr>
            <w:r>
              <w:t xml:space="preserve">за 2019 г., </w:t>
            </w:r>
          </w:p>
          <w:p>
            <w:pPr>
              <w:ind w:left="-57" w:right="-57"/>
              <w:jc w:val="center"/>
            </w:pPr>
            <w:r>
              <w:t>тыс. руб.</w:t>
            </w:r>
          </w:p>
        </w:tc>
        <w:tc>
          <w:tcPr>
            <w:tcW w:w="1559" w:type="dxa"/>
            <w:shd w:val="clear" w:color="auto" w:fill="FFFFFF"/>
            <w:vAlign w:val="center"/>
          </w:tcPr>
          <w:p>
            <w:pPr>
              <w:ind w:left="-57" w:right="-57"/>
              <w:jc w:val="center"/>
            </w:pPr>
            <w:r>
              <w:t>% исполнения</w:t>
            </w:r>
          </w:p>
          <w:p>
            <w:pPr>
              <w:ind w:left="-57" w:right="-57"/>
              <w:jc w:val="center"/>
            </w:pPr>
            <w:r>
              <w:t>к плану 2019 г.</w:t>
            </w:r>
          </w:p>
        </w:tc>
      </w:tr>
      <w:tr>
        <w:trPr>
          <w:trHeight w:val="284"/>
        </w:trPr>
        <w:tc>
          <w:tcPr>
            <w:tcW w:w="656" w:type="dxa"/>
            <w:shd w:val="clear" w:color="auto" w:fill="FFFFFF"/>
            <w:noWrap/>
            <w:vAlign w:val="center"/>
          </w:tcPr>
          <w:p>
            <w:pPr>
              <w:jc w:val="center"/>
            </w:pPr>
          </w:p>
        </w:tc>
        <w:tc>
          <w:tcPr>
            <w:tcW w:w="4179" w:type="dxa"/>
            <w:shd w:val="clear" w:color="auto" w:fill="FFFFFF"/>
            <w:vAlign w:val="center"/>
          </w:tcPr>
          <w:p>
            <w:r>
              <w:t>УВГТ:</w:t>
            </w:r>
          </w:p>
        </w:tc>
        <w:tc>
          <w:tcPr>
            <w:tcW w:w="1559" w:type="dxa"/>
            <w:shd w:val="clear" w:color="auto" w:fill="FFFFFF"/>
          </w:tcPr>
          <w:p>
            <w:pPr>
              <w:jc w:val="right"/>
            </w:pPr>
            <w:r>
              <w:t>49 241,03</w:t>
            </w:r>
          </w:p>
        </w:tc>
        <w:tc>
          <w:tcPr>
            <w:tcW w:w="1418" w:type="dxa"/>
            <w:shd w:val="clear" w:color="auto" w:fill="FFFFFF"/>
          </w:tcPr>
          <w:p>
            <w:pPr>
              <w:jc w:val="right"/>
            </w:pPr>
            <w:r>
              <w:t>48 771,79 </w:t>
            </w:r>
          </w:p>
        </w:tc>
        <w:tc>
          <w:tcPr>
            <w:tcW w:w="1559" w:type="dxa"/>
            <w:shd w:val="clear" w:color="auto" w:fill="FFFFFF"/>
          </w:tcPr>
          <w:p>
            <w:pPr>
              <w:jc w:val="center"/>
            </w:pPr>
            <w:r>
              <w:t>99,0</w:t>
            </w:r>
          </w:p>
        </w:tc>
      </w:tr>
      <w:tr>
        <w:trPr>
          <w:trHeight w:val="284"/>
        </w:trPr>
        <w:tc>
          <w:tcPr>
            <w:tcW w:w="656" w:type="dxa"/>
            <w:shd w:val="clear" w:color="auto" w:fill="FFFFFF"/>
            <w:noWrap/>
            <w:vAlign w:val="center"/>
          </w:tcPr>
          <w:p>
            <w:pPr>
              <w:jc w:val="center"/>
            </w:pPr>
            <w:r>
              <w:t>0100</w:t>
            </w:r>
          </w:p>
        </w:tc>
        <w:tc>
          <w:tcPr>
            <w:tcW w:w="4179" w:type="dxa"/>
            <w:shd w:val="clear" w:color="auto" w:fill="FFFFFF"/>
            <w:vAlign w:val="center"/>
          </w:tcPr>
          <w:p>
            <w:r>
              <w:t>Общегосударственные вопросы</w:t>
            </w:r>
          </w:p>
        </w:tc>
        <w:tc>
          <w:tcPr>
            <w:tcW w:w="1559" w:type="dxa"/>
            <w:shd w:val="clear" w:color="auto" w:fill="FFFFFF"/>
            <w:vAlign w:val="center"/>
          </w:tcPr>
          <w:p>
            <w:pPr>
              <w:jc w:val="right"/>
            </w:pPr>
            <w:r>
              <w:t>12 145,62</w:t>
            </w:r>
          </w:p>
        </w:tc>
        <w:tc>
          <w:tcPr>
            <w:tcW w:w="1418" w:type="dxa"/>
            <w:shd w:val="clear" w:color="auto" w:fill="FFFFFF"/>
            <w:vAlign w:val="center"/>
          </w:tcPr>
          <w:p>
            <w:pPr>
              <w:jc w:val="right"/>
            </w:pPr>
            <w:r>
              <w:t>12 012,46</w:t>
            </w:r>
          </w:p>
        </w:tc>
        <w:tc>
          <w:tcPr>
            <w:tcW w:w="1559" w:type="dxa"/>
            <w:shd w:val="clear" w:color="auto" w:fill="FFFFFF"/>
            <w:vAlign w:val="center"/>
          </w:tcPr>
          <w:p>
            <w:pPr>
              <w:jc w:val="center"/>
            </w:pPr>
            <w:r>
              <w:t>98,9</w:t>
            </w:r>
          </w:p>
        </w:tc>
      </w:tr>
      <w:tr>
        <w:trPr>
          <w:trHeight w:val="284"/>
        </w:trPr>
        <w:tc>
          <w:tcPr>
            <w:tcW w:w="656" w:type="dxa"/>
            <w:shd w:val="clear" w:color="auto" w:fill="FFFFFF"/>
            <w:noWrap/>
            <w:vAlign w:val="center"/>
          </w:tcPr>
          <w:p>
            <w:pPr>
              <w:jc w:val="center"/>
            </w:pPr>
            <w:r>
              <w:t>0300</w:t>
            </w:r>
          </w:p>
        </w:tc>
        <w:tc>
          <w:tcPr>
            <w:tcW w:w="4179" w:type="dxa"/>
            <w:shd w:val="clear" w:color="auto" w:fill="FFFFFF"/>
            <w:vAlign w:val="center"/>
          </w:tcPr>
          <w:p>
            <w:r>
              <w:t>Национальная безопасность и правоохранительная деятельность</w:t>
            </w:r>
          </w:p>
        </w:tc>
        <w:tc>
          <w:tcPr>
            <w:tcW w:w="1559" w:type="dxa"/>
            <w:shd w:val="clear" w:color="auto" w:fill="FFFFFF"/>
            <w:vAlign w:val="center"/>
          </w:tcPr>
          <w:p>
            <w:pPr>
              <w:jc w:val="right"/>
            </w:pPr>
            <w:r>
              <w:t>53,40</w:t>
            </w:r>
          </w:p>
        </w:tc>
        <w:tc>
          <w:tcPr>
            <w:tcW w:w="1418" w:type="dxa"/>
            <w:shd w:val="clear" w:color="auto" w:fill="FFFFFF"/>
            <w:vAlign w:val="center"/>
          </w:tcPr>
          <w:p>
            <w:pPr>
              <w:jc w:val="right"/>
            </w:pPr>
            <w:r>
              <w:t>53,15</w:t>
            </w:r>
          </w:p>
        </w:tc>
        <w:tc>
          <w:tcPr>
            <w:tcW w:w="1559" w:type="dxa"/>
            <w:shd w:val="clear" w:color="auto" w:fill="FFFFFF"/>
            <w:vAlign w:val="center"/>
          </w:tcPr>
          <w:p>
            <w:pPr>
              <w:jc w:val="center"/>
            </w:pPr>
            <w:r>
              <w:t>99,5</w:t>
            </w:r>
          </w:p>
        </w:tc>
      </w:tr>
      <w:tr>
        <w:trPr>
          <w:trHeight w:val="284"/>
        </w:trPr>
        <w:tc>
          <w:tcPr>
            <w:tcW w:w="656" w:type="dxa"/>
            <w:shd w:val="clear" w:color="auto" w:fill="FFFFFF"/>
            <w:noWrap/>
            <w:vAlign w:val="center"/>
          </w:tcPr>
          <w:p>
            <w:pPr>
              <w:jc w:val="center"/>
            </w:pPr>
            <w:r>
              <w:t>0400</w:t>
            </w:r>
          </w:p>
        </w:tc>
        <w:tc>
          <w:tcPr>
            <w:tcW w:w="4179" w:type="dxa"/>
            <w:shd w:val="clear" w:color="auto" w:fill="FFFFFF"/>
            <w:vAlign w:val="center"/>
          </w:tcPr>
          <w:p>
            <w:r>
              <w:t>Национальная экономика</w:t>
            </w:r>
          </w:p>
        </w:tc>
        <w:tc>
          <w:tcPr>
            <w:tcW w:w="1559" w:type="dxa"/>
            <w:shd w:val="clear" w:color="auto" w:fill="FFFFFF"/>
            <w:vAlign w:val="center"/>
          </w:tcPr>
          <w:p>
            <w:pPr>
              <w:jc w:val="right"/>
            </w:pPr>
            <w:r>
              <w:t>11 077,39</w:t>
            </w:r>
          </w:p>
        </w:tc>
        <w:tc>
          <w:tcPr>
            <w:tcW w:w="1418" w:type="dxa"/>
            <w:shd w:val="clear" w:color="auto" w:fill="FFFFFF"/>
            <w:vAlign w:val="center"/>
          </w:tcPr>
          <w:p>
            <w:pPr>
              <w:jc w:val="right"/>
            </w:pPr>
            <w:r>
              <w:t>11 037,46</w:t>
            </w:r>
          </w:p>
        </w:tc>
        <w:tc>
          <w:tcPr>
            <w:tcW w:w="1559" w:type="dxa"/>
            <w:shd w:val="clear" w:color="auto" w:fill="FFFFFF"/>
            <w:vAlign w:val="center"/>
          </w:tcPr>
          <w:p>
            <w:pPr>
              <w:jc w:val="center"/>
            </w:pPr>
            <w:r>
              <w:t>99,6</w:t>
            </w:r>
          </w:p>
        </w:tc>
      </w:tr>
      <w:tr>
        <w:trPr>
          <w:trHeight w:val="284"/>
        </w:trPr>
        <w:tc>
          <w:tcPr>
            <w:tcW w:w="656" w:type="dxa"/>
            <w:shd w:val="clear" w:color="auto" w:fill="FFFFFF"/>
            <w:noWrap/>
            <w:vAlign w:val="center"/>
          </w:tcPr>
          <w:p>
            <w:pPr>
              <w:jc w:val="center"/>
            </w:pPr>
            <w:r>
              <w:t>0500</w:t>
            </w:r>
          </w:p>
        </w:tc>
        <w:tc>
          <w:tcPr>
            <w:tcW w:w="4179" w:type="dxa"/>
            <w:shd w:val="clear" w:color="auto" w:fill="FFFFFF"/>
            <w:vAlign w:val="center"/>
          </w:tcPr>
          <w:p>
            <w:r>
              <w:t>Жилищно-коммунальное хозяйство</w:t>
            </w:r>
          </w:p>
        </w:tc>
        <w:tc>
          <w:tcPr>
            <w:tcW w:w="1559" w:type="dxa"/>
            <w:shd w:val="clear" w:color="auto" w:fill="FFFFFF"/>
            <w:vAlign w:val="center"/>
          </w:tcPr>
          <w:p>
            <w:pPr>
              <w:jc w:val="right"/>
            </w:pPr>
            <w:r>
              <w:t>25 964,62</w:t>
            </w:r>
          </w:p>
        </w:tc>
        <w:tc>
          <w:tcPr>
            <w:tcW w:w="1418" w:type="dxa"/>
            <w:shd w:val="clear" w:color="auto" w:fill="FFFFFF"/>
            <w:vAlign w:val="center"/>
          </w:tcPr>
          <w:p>
            <w:pPr>
              <w:jc w:val="right"/>
            </w:pPr>
            <w:r>
              <w:t>25 668,72</w:t>
            </w:r>
          </w:p>
        </w:tc>
        <w:tc>
          <w:tcPr>
            <w:tcW w:w="1559" w:type="dxa"/>
            <w:shd w:val="clear" w:color="auto" w:fill="FFFFFF"/>
            <w:vAlign w:val="center"/>
          </w:tcPr>
          <w:p>
            <w:pPr>
              <w:jc w:val="center"/>
            </w:pPr>
            <w:r>
              <w:t>98,9</w:t>
            </w:r>
          </w:p>
        </w:tc>
      </w:tr>
    </w:tbl>
    <w:p>
      <w:pPr>
        <w:spacing w:after="120"/>
        <w:rPr>
          <w:b/>
          <w:sz w:val="24"/>
          <w:szCs w:val="24"/>
          <w:highlight w:val="yellow"/>
        </w:rPr>
      </w:pPr>
    </w:p>
    <w:p>
      <w:pPr>
        <w:spacing w:after="120"/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>V</w:t>
      </w:r>
      <w:r>
        <w:rPr>
          <w:b/>
          <w:sz w:val="24"/>
          <w:szCs w:val="24"/>
        </w:rPr>
        <w:t xml:space="preserve">. ОСТАТКИ НА ЕДИНОМ СЧЕТЕ БЮДЖЕТА </w:t>
      </w:r>
    </w:p>
    <w:p>
      <w:pPr>
        <w:pStyle w:val="a5"/>
        <w:tabs>
          <w:tab w:val="left" w:pos="6946"/>
        </w:tabs>
        <w:spacing w:after="0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Остатки средств на едином счете бюджета ЗАТО Северск на 01.01.2020 г. составили</w:t>
      </w:r>
      <w:r>
        <w:rPr>
          <w:color w:val="000000"/>
          <w:sz w:val="24"/>
          <w:szCs w:val="24"/>
        </w:rPr>
        <w:br/>
        <w:t xml:space="preserve">30 320,77 тыс. руб., в том числе целевые средства 7 618,70 тыс. руб., средства местного бюджета 22 702,07 тыс.руб. </w:t>
      </w:r>
    </w:p>
    <w:p>
      <w:pPr>
        <w:pStyle w:val="a5"/>
        <w:tabs>
          <w:tab w:val="left" w:pos="851"/>
        </w:tabs>
        <w:spacing w:after="0"/>
        <w:rPr>
          <w:b/>
          <w:sz w:val="24"/>
          <w:szCs w:val="24"/>
          <w:highlight w:val="yellow"/>
        </w:rPr>
      </w:pPr>
    </w:p>
    <w:p>
      <w:pPr>
        <w:pStyle w:val="33"/>
        <w:spacing w:after="120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>V</w:t>
      </w:r>
      <w:r>
        <w:rPr>
          <w:b/>
          <w:sz w:val="24"/>
          <w:szCs w:val="24"/>
        </w:rPr>
        <w:t>I. МУНИЦИПАЛЬНЫЙ ДОЛГ ЗАТО СЕВЕРСК</w:t>
      </w:r>
    </w:p>
    <w:p>
      <w:pPr>
        <w:pStyle w:val="20"/>
        <w:ind w:firstLine="709"/>
        <w:rPr>
          <w:spacing w:val="-4"/>
          <w:szCs w:val="24"/>
        </w:rPr>
      </w:pPr>
      <w:r>
        <w:rPr>
          <w:spacing w:val="-4"/>
          <w:szCs w:val="24"/>
        </w:rPr>
        <w:t>Муниципальный долг на 01.01.2020 увеличен на 14% к уровню начала 2019 года и составил  188 441,93 тыс. руб. По сравнению с 2018 годом муниципальный долг в 2019 году рос на 14 пунктов медленнее (14% против 28%). В 2019 году 65% (или 116 480,12 тыс.руб.) из погашенных долговых обязательств бюджета ЗАТО Северск составляли бюджетные кредиты бюджета Томской области; 35% или 62 517,85 тыс.руб. - кредиты коммерческих организаций.</w:t>
      </w:r>
    </w:p>
    <w:p>
      <w:pPr>
        <w:pStyle w:val="20"/>
        <w:spacing w:before="60" w:after="60"/>
        <w:ind w:right="45" w:firstLine="709"/>
        <w:rPr>
          <w:spacing w:val="-4"/>
          <w:szCs w:val="24"/>
        </w:rPr>
      </w:pPr>
      <w:r>
        <w:rPr>
          <w:spacing w:val="-4"/>
          <w:szCs w:val="24"/>
        </w:rPr>
        <w:t>Таблица 57. Структура муниципального долга</w:t>
      </w:r>
    </w:p>
    <w:tbl>
      <w:tblPr>
        <w:tblStyle w:val="af7"/>
        <w:tblW w:w="9507" w:type="dxa"/>
        <w:tblLook w:val="04A0"/>
      </w:tblPr>
      <w:tblGrid>
        <w:gridCol w:w="4077"/>
        <w:gridCol w:w="1559"/>
        <w:gridCol w:w="1135"/>
        <w:gridCol w:w="1559"/>
        <w:gridCol w:w="1177"/>
      </w:tblGrid>
      <w:tr>
        <w:trPr>
          <w:trHeight w:val="368"/>
        </w:trPr>
        <w:tc>
          <w:tcPr>
            <w:tcW w:w="4077" w:type="dxa"/>
            <w:vMerge w:val="restart"/>
            <w:vAlign w:val="center"/>
          </w:tcPr>
          <w:p>
            <w:pPr>
              <w:pStyle w:val="20"/>
              <w:jc w:val="center"/>
              <w:rPr>
                <w:spacing w:val="-1"/>
                <w:sz w:val="20"/>
              </w:rPr>
            </w:pPr>
            <w:r>
              <w:rPr>
                <w:spacing w:val="-1"/>
                <w:sz w:val="20"/>
              </w:rPr>
              <w:t>Виды долговых обязательств</w:t>
            </w:r>
          </w:p>
        </w:tc>
        <w:tc>
          <w:tcPr>
            <w:tcW w:w="2694" w:type="dxa"/>
            <w:gridSpan w:val="2"/>
            <w:vAlign w:val="center"/>
          </w:tcPr>
          <w:p>
            <w:pPr>
              <w:pStyle w:val="20"/>
              <w:jc w:val="center"/>
              <w:rPr>
                <w:spacing w:val="-1"/>
                <w:sz w:val="20"/>
              </w:rPr>
            </w:pPr>
            <w:r>
              <w:rPr>
                <w:spacing w:val="-1"/>
                <w:sz w:val="20"/>
              </w:rPr>
              <w:t>Погашено</w:t>
            </w:r>
          </w:p>
        </w:tc>
        <w:tc>
          <w:tcPr>
            <w:tcW w:w="2736" w:type="dxa"/>
            <w:gridSpan w:val="2"/>
            <w:vAlign w:val="center"/>
          </w:tcPr>
          <w:p>
            <w:pPr>
              <w:pStyle w:val="20"/>
              <w:jc w:val="center"/>
              <w:rPr>
                <w:spacing w:val="-1"/>
                <w:sz w:val="20"/>
              </w:rPr>
            </w:pPr>
            <w:r>
              <w:rPr>
                <w:spacing w:val="-1"/>
                <w:sz w:val="20"/>
              </w:rPr>
              <w:t>Получено</w:t>
            </w:r>
          </w:p>
        </w:tc>
      </w:tr>
      <w:tr>
        <w:trPr>
          <w:trHeight w:val="415"/>
        </w:trPr>
        <w:tc>
          <w:tcPr>
            <w:tcW w:w="4077" w:type="dxa"/>
            <w:vMerge/>
            <w:vAlign w:val="center"/>
          </w:tcPr>
          <w:p>
            <w:pPr>
              <w:pStyle w:val="20"/>
              <w:jc w:val="left"/>
              <w:rPr>
                <w:spacing w:val="-1"/>
                <w:sz w:val="20"/>
              </w:rPr>
            </w:pPr>
          </w:p>
        </w:tc>
        <w:tc>
          <w:tcPr>
            <w:tcW w:w="1559" w:type="dxa"/>
            <w:vAlign w:val="center"/>
          </w:tcPr>
          <w:p>
            <w:pPr>
              <w:pStyle w:val="20"/>
              <w:tabs>
                <w:tab w:val="left" w:pos="1452"/>
              </w:tabs>
              <w:ind w:right="-109"/>
              <w:rPr>
                <w:spacing w:val="-1"/>
                <w:sz w:val="20"/>
              </w:rPr>
            </w:pPr>
            <w:r>
              <w:rPr>
                <w:spacing w:val="-1"/>
                <w:sz w:val="20"/>
              </w:rPr>
              <w:t>Сумма, тыс.руб.</w:t>
            </w:r>
          </w:p>
        </w:tc>
        <w:tc>
          <w:tcPr>
            <w:tcW w:w="1135" w:type="dxa"/>
            <w:vAlign w:val="center"/>
          </w:tcPr>
          <w:p>
            <w:pPr>
              <w:pStyle w:val="20"/>
              <w:jc w:val="center"/>
              <w:rPr>
                <w:spacing w:val="-1"/>
                <w:sz w:val="20"/>
              </w:rPr>
            </w:pPr>
            <w:r>
              <w:rPr>
                <w:spacing w:val="-1"/>
                <w:sz w:val="20"/>
              </w:rPr>
              <w:t>Доля, %</w:t>
            </w:r>
          </w:p>
        </w:tc>
        <w:tc>
          <w:tcPr>
            <w:tcW w:w="1559" w:type="dxa"/>
            <w:vAlign w:val="center"/>
          </w:tcPr>
          <w:p>
            <w:pPr>
              <w:pStyle w:val="20"/>
              <w:ind w:right="-183"/>
              <w:rPr>
                <w:spacing w:val="-1"/>
                <w:sz w:val="20"/>
              </w:rPr>
            </w:pPr>
            <w:r>
              <w:rPr>
                <w:spacing w:val="-1"/>
                <w:sz w:val="20"/>
              </w:rPr>
              <w:t>Сумма, тыс.руб.</w:t>
            </w:r>
          </w:p>
        </w:tc>
        <w:tc>
          <w:tcPr>
            <w:tcW w:w="1177" w:type="dxa"/>
            <w:vAlign w:val="center"/>
          </w:tcPr>
          <w:p>
            <w:pPr>
              <w:pStyle w:val="20"/>
              <w:jc w:val="center"/>
              <w:rPr>
                <w:spacing w:val="-1"/>
                <w:sz w:val="20"/>
              </w:rPr>
            </w:pPr>
            <w:r>
              <w:rPr>
                <w:spacing w:val="-1"/>
                <w:sz w:val="20"/>
              </w:rPr>
              <w:t>Доля, %</w:t>
            </w:r>
          </w:p>
        </w:tc>
      </w:tr>
      <w:tr>
        <w:trPr>
          <w:trHeight w:val="304"/>
        </w:trPr>
        <w:tc>
          <w:tcPr>
            <w:tcW w:w="4077" w:type="dxa"/>
            <w:vAlign w:val="center"/>
          </w:tcPr>
          <w:p>
            <w:pPr>
              <w:pStyle w:val="20"/>
              <w:jc w:val="left"/>
              <w:rPr>
                <w:spacing w:val="-1"/>
                <w:sz w:val="20"/>
              </w:rPr>
            </w:pPr>
            <w:r>
              <w:rPr>
                <w:spacing w:val="-1"/>
                <w:sz w:val="20"/>
              </w:rPr>
              <w:t>Кредиты от кредитных организаций</w:t>
            </w:r>
          </w:p>
        </w:tc>
        <w:tc>
          <w:tcPr>
            <w:tcW w:w="1559" w:type="dxa"/>
            <w:vAlign w:val="center"/>
          </w:tcPr>
          <w:p>
            <w:pPr>
              <w:pStyle w:val="20"/>
              <w:jc w:val="center"/>
              <w:rPr>
                <w:spacing w:val="-1"/>
                <w:sz w:val="20"/>
              </w:rPr>
            </w:pPr>
            <w:r>
              <w:rPr>
                <w:spacing w:val="-1"/>
                <w:sz w:val="20"/>
              </w:rPr>
              <w:t>62 517,85</w:t>
            </w:r>
          </w:p>
        </w:tc>
        <w:tc>
          <w:tcPr>
            <w:tcW w:w="1135" w:type="dxa"/>
            <w:vAlign w:val="center"/>
          </w:tcPr>
          <w:p>
            <w:pPr>
              <w:pStyle w:val="20"/>
              <w:jc w:val="center"/>
              <w:rPr>
                <w:spacing w:val="-1"/>
                <w:sz w:val="20"/>
              </w:rPr>
            </w:pPr>
            <w:r>
              <w:rPr>
                <w:spacing w:val="-1"/>
                <w:sz w:val="20"/>
              </w:rPr>
              <w:t>35</w:t>
            </w:r>
          </w:p>
        </w:tc>
        <w:tc>
          <w:tcPr>
            <w:tcW w:w="1559" w:type="dxa"/>
            <w:vAlign w:val="center"/>
          </w:tcPr>
          <w:p>
            <w:pPr>
              <w:pStyle w:val="20"/>
              <w:jc w:val="center"/>
              <w:rPr>
                <w:spacing w:val="-1"/>
                <w:sz w:val="20"/>
              </w:rPr>
            </w:pPr>
            <w:r>
              <w:rPr>
                <w:spacing w:val="-1"/>
                <w:sz w:val="20"/>
              </w:rPr>
              <w:t>-</w:t>
            </w:r>
          </w:p>
        </w:tc>
        <w:tc>
          <w:tcPr>
            <w:tcW w:w="1177" w:type="dxa"/>
            <w:vAlign w:val="center"/>
          </w:tcPr>
          <w:p>
            <w:pPr>
              <w:pStyle w:val="20"/>
              <w:jc w:val="center"/>
              <w:rPr>
                <w:spacing w:val="-1"/>
                <w:sz w:val="20"/>
              </w:rPr>
            </w:pPr>
          </w:p>
        </w:tc>
      </w:tr>
      <w:tr>
        <w:trPr>
          <w:trHeight w:val="564"/>
        </w:trPr>
        <w:tc>
          <w:tcPr>
            <w:tcW w:w="4077" w:type="dxa"/>
            <w:vAlign w:val="center"/>
          </w:tcPr>
          <w:p>
            <w:pPr>
              <w:pStyle w:val="20"/>
              <w:jc w:val="left"/>
              <w:rPr>
                <w:spacing w:val="-1"/>
                <w:sz w:val="20"/>
              </w:rPr>
            </w:pPr>
            <w:r>
              <w:rPr>
                <w:spacing w:val="-1"/>
                <w:sz w:val="20"/>
              </w:rPr>
              <w:t>Бюджетные кредиты от бюджетов других уровней</w:t>
            </w:r>
          </w:p>
        </w:tc>
        <w:tc>
          <w:tcPr>
            <w:tcW w:w="1559" w:type="dxa"/>
            <w:vAlign w:val="center"/>
          </w:tcPr>
          <w:p>
            <w:pPr>
              <w:pStyle w:val="20"/>
              <w:jc w:val="center"/>
              <w:rPr>
                <w:spacing w:val="-1"/>
                <w:sz w:val="20"/>
              </w:rPr>
            </w:pPr>
            <w:r>
              <w:rPr>
                <w:spacing w:val="-1"/>
                <w:sz w:val="20"/>
              </w:rPr>
              <w:t>116 480,12</w:t>
            </w:r>
          </w:p>
        </w:tc>
        <w:tc>
          <w:tcPr>
            <w:tcW w:w="1135" w:type="dxa"/>
            <w:vAlign w:val="center"/>
          </w:tcPr>
          <w:p>
            <w:pPr>
              <w:pStyle w:val="20"/>
              <w:jc w:val="center"/>
              <w:rPr>
                <w:spacing w:val="-1"/>
                <w:sz w:val="20"/>
              </w:rPr>
            </w:pPr>
            <w:r>
              <w:rPr>
                <w:spacing w:val="-1"/>
                <w:sz w:val="20"/>
              </w:rPr>
              <w:t>65</w:t>
            </w:r>
          </w:p>
        </w:tc>
        <w:tc>
          <w:tcPr>
            <w:tcW w:w="1559" w:type="dxa"/>
            <w:vAlign w:val="center"/>
          </w:tcPr>
          <w:p>
            <w:pPr>
              <w:pStyle w:val="20"/>
              <w:jc w:val="center"/>
              <w:rPr>
                <w:spacing w:val="-1"/>
                <w:sz w:val="20"/>
              </w:rPr>
            </w:pPr>
            <w:r>
              <w:rPr>
                <w:spacing w:val="-1"/>
                <w:sz w:val="20"/>
              </w:rPr>
              <w:t>202 441,93</w:t>
            </w:r>
          </w:p>
        </w:tc>
        <w:tc>
          <w:tcPr>
            <w:tcW w:w="1177" w:type="dxa"/>
            <w:vAlign w:val="center"/>
          </w:tcPr>
          <w:p>
            <w:pPr>
              <w:pStyle w:val="20"/>
              <w:jc w:val="center"/>
              <w:rPr>
                <w:spacing w:val="-1"/>
                <w:sz w:val="20"/>
              </w:rPr>
            </w:pPr>
            <w:r>
              <w:rPr>
                <w:spacing w:val="-1"/>
                <w:sz w:val="20"/>
              </w:rPr>
              <w:t>100</w:t>
            </w:r>
          </w:p>
        </w:tc>
      </w:tr>
      <w:tr>
        <w:trPr>
          <w:trHeight w:val="378"/>
        </w:trPr>
        <w:tc>
          <w:tcPr>
            <w:tcW w:w="4077" w:type="dxa"/>
            <w:vAlign w:val="center"/>
          </w:tcPr>
          <w:p>
            <w:pPr>
              <w:pStyle w:val="20"/>
              <w:jc w:val="left"/>
              <w:rPr>
                <w:spacing w:val="-1"/>
                <w:sz w:val="20"/>
              </w:rPr>
            </w:pPr>
            <w:r>
              <w:rPr>
                <w:spacing w:val="-1"/>
                <w:sz w:val="20"/>
              </w:rPr>
              <w:t>Всего</w:t>
            </w:r>
          </w:p>
        </w:tc>
        <w:tc>
          <w:tcPr>
            <w:tcW w:w="1559" w:type="dxa"/>
            <w:vAlign w:val="center"/>
          </w:tcPr>
          <w:p>
            <w:pPr>
              <w:pStyle w:val="20"/>
              <w:jc w:val="center"/>
              <w:rPr>
                <w:spacing w:val="-1"/>
                <w:sz w:val="20"/>
              </w:rPr>
            </w:pPr>
            <w:r>
              <w:rPr>
                <w:spacing w:val="-1"/>
                <w:sz w:val="20"/>
              </w:rPr>
              <w:t>178 997,97</w:t>
            </w:r>
          </w:p>
        </w:tc>
        <w:tc>
          <w:tcPr>
            <w:tcW w:w="1135" w:type="dxa"/>
            <w:vAlign w:val="center"/>
          </w:tcPr>
          <w:p>
            <w:pPr>
              <w:pStyle w:val="20"/>
              <w:jc w:val="center"/>
              <w:rPr>
                <w:spacing w:val="-1"/>
                <w:sz w:val="20"/>
              </w:rPr>
            </w:pPr>
          </w:p>
        </w:tc>
        <w:tc>
          <w:tcPr>
            <w:tcW w:w="1559" w:type="dxa"/>
            <w:vAlign w:val="center"/>
          </w:tcPr>
          <w:p>
            <w:pPr>
              <w:pStyle w:val="20"/>
              <w:jc w:val="center"/>
              <w:rPr>
                <w:spacing w:val="-1"/>
                <w:sz w:val="20"/>
              </w:rPr>
            </w:pPr>
            <w:r>
              <w:rPr>
                <w:spacing w:val="-1"/>
                <w:sz w:val="20"/>
              </w:rPr>
              <w:t>202 441,93</w:t>
            </w:r>
          </w:p>
        </w:tc>
        <w:tc>
          <w:tcPr>
            <w:tcW w:w="1177" w:type="dxa"/>
            <w:vAlign w:val="center"/>
          </w:tcPr>
          <w:p>
            <w:pPr>
              <w:pStyle w:val="20"/>
              <w:jc w:val="center"/>
              <w:rPr>
                <w:spacing w:val="-1"/>
                <w:sz w:val="20"/>
              </w:rPr>
            </w:pPr>
          </w:p>
        </w:tc>
      </w:tr>
    </w:tbl>
    <w:p>
      <w:pPr>
        <w:pStyle w:val="20"/>
        <w:rPr>
          <w:spacing w:val="-4"/>
          <w:sz w:val="16"/>
          <w:szCs w:val="16"/>
        </w:rPr>
      </w:pPr>
    </w:p>
    <w:p>
      <w:pPr>
        <w:pStyle w:val="a5"/>
        <w:tabs>
          <w:tab w:val="left" w:pos="6946"/>
        </w:tabs>
        <w:spacing w:after="0"/>
        <w:ind w:firstLine="709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За 2019 год исполнены обязательства по ранее взятым кредитам на общую сумму 178 997,97 тыс.руб., в т.ч.:</w:t>
      </w:r>
    </w:p>
    <w:p>
      <w:pPr>
        <w:pStyle w:val="a5"/>
        <w:tabs>
          <w:tab w:val="left" w:pos="6946"/>
        </w:tabs>
        <w:spacing w:after="0"/>
        <w:ind w:firstLine="709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- полностью погашен основной долг по двум бюджетным кредитам, привлеченным в 2016 и в 2018 годам, в общей сумме 116 480,12 тыс.руб.;</w:t>
      </w:r>
    </w:p>
    <w:p>
      <w:pPr>
        <w:pStyle w:val="a5"/>
        <w:tabs>
          <w:tab w:val="left" w:pos="6946"/>
        </w:tabs>
        <w:spacing w:after="0"/>
        <w:ind w:firstLine="709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-  полностью погашен основной долг по кредиту коммерческого банка АО Банк «СМП», привлеченному в 2017 году, в сумме 48 517,85 тыс.руб.;</w:t>
      </w:r>
    </w:p>
    <w:p>
      <w:pPr>
        <w:pStyle w:val="a5"/>
        <w:tabs>
          <w:tab w:val="left" w:pos="6946"/>
        </w:tabs>
        <w:ind w:firstLine="709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- частичное погашение основного долга по кредиту коммерческого банка</w:t>
      </w:r>
      <w:r>
        <w:rPr>
          <w:spacing w:val="-1"/>
          <w:sz w:val="24"/>
          <w:szCs w:val="24"/>
        </w:rPr>
        <w:t xml:space="preserve"> НСКБ «Левобережный»</w:t>
      </w:r>
      <w:r>
        <w:rPr>
          <w:spacing w:val="-4"/>
          <w:sz w:val="24"/>
          <w:szCs w:val="24"/>
        </w:rPr>
        <w:t>, привлеченному в 2019 году, в сумме 14 000,00 тыс.руб.</w:t>
      </w:r>
    </w:p>
    <w:p>
      <w:pPr>
        <w:pStyle w:val="20"/>
        <w:ind w:firstLine="567"/>
        <w:rPr>
          <w:spacing w:val="-1"/>
          <w:szCs w:val="24"/>
        </w:rPr>
      </w:pPr>
      <w:r>
        <w:rPr>
          <w:spacing w:val="-4"/>
          <w:szCs w:val="24"/>
        </w:rPr>
        <w:t xml:space="preserve">Для покрытия дефицита и погашения части муниципального долга </w:t>
      </w:r>
      <w:r>
        <w:rPr>
          <w:spacing w:val="-1"/>
          <w:szCs w:val="24"/>
        </w:rPr>
        <w:t>в течение 2019 года</w:t>
      </w:r>
      <w:r>
        <w:rPr>
          <w:spacing w:val="-4"/>
          <w:szCs w:val="24"/>
        </w:rPr>
        <w:t xml:space="preserve"> заключены два муниципальных контракта на заимствование</w:t>
      </w:r>
      <w:r>
        <w:rPr>
          <w:spacing w:val="-1"/>
          <w:szCs w:val="24"/>
        </w:rPr>
        <w:t xml:space="preserve"> кредитных ресурсов на общую сумму 202 441,93 тыс.руб.:</w:t>
      </w:r>
    </w:p>
    <w:p>
      <w:pPr>
        <w:pStyle w:val="20"/>
        <w:spacing w:before="60" w:after="60"/>
        <w:ind w:right="45" w:firstLine="709"/>
        <w:rPr>
          <w:szCs w:val="24"/>
        </w:rPr>
      </w:pPr>
      <w:r>
        <w:rPr>
          <w:spacing w:val="-1"/>
          <w:szCs w:val="24"/>
        </w:rPr>
        <w:t>Таблица 58. Муниципальные заимствования 2019 года</w:t>
      </w:r>
    </w:p>
    <w:tbl>
      <w:tblPr>
        <w:tblStyle w:val="af7"/>
        <w:tblW w:w="0" w:type="auto"/>
        <w:tblLook w:val="04A0"/>
      </w:tblPr>
      <w:tblGrid>
        <w:gridCol w:w="449"/>
        <w:gridCol w:w="5109"/>
        <w:gridCol w:w="1347"/>
        <w:gridCol w:w="1272"/>
        <w:gridCol w:w="1177"/>
      </w:tblGrid>
      <w:tr>
        <w:tc>
          <w:tcPr>
            <w:tcW w:w="449" w:type="dxa"/>
            <w:vAlign w:val="center"/>
          </w:tcPr>
          <w:p>
            <w:pPr>
              <w:pStyle w:val="20"/>
              <w:rPr>
                <w:spacing w:val="-1"/>
                <w:sz w:val="20"/>
              </w:rPr>
            </w:pPr>
            <w:r>
              <w:rPr>
                <w:spacing w:val="-1"/>
                <w:sz w:val="20"/>
              </w:rPr>
              <w:t>№</w:t>
            </w:r>
          </w:p>
        </w:tc>
        <w:tc>
          <w:tcPr>
            <w:tcW w:w="5109" w:type="dxa"/>
            <w:vAlign w:val="center"/>
          </w:tcPr>
          <w:p>
            <w:pPr>
              <w:pStyle w:val="20"/>
              <w:jc w:val="center"/>
              <w:rPr>
                <w:spacing w:val="-1"/>
                <w:sz w:val="20"/>
              </w:rPr>
            </w:pPr>
            <w:r>
              <w:rPr>
                <w:spacing w:val="-1"/>
                <w:sz w:val="20"/>
              </w:rPr>
              <w:t>Наименование банка, муниципальный контракт</w:t>
            </w:r>
          </w:p>
        </w:tc>
        <w:tc>
          <w:tcPr>
            <w:tcW w:w="1347" w:type="dxa"/>
            <w:vAlign w:val="center"/>
          </w:tcPr>
          <w:p>
            <w:pPr>
              <w:pStyle w:val="20"/>
              <w:jc w:val="center"/>
              <w:rPr>
                <w:spacing w:val="-1"/>
                <w:sz w:val="20"/>
              </w:rPr>
            </w:pPr>
            <w:r>
              <w:rPr>
                <w:spacing w:val="-1"/>
                <w:sz w:val="20"/>
              </w:rPr>
              <w:t>Объем обязательств по кредиту</w:t>
            </w:r>
          </w:p>
        </w:tc>
        <w:tc>
          <w:tcPr>
            <w:tcW w:w="1272" w:type="dxa"/>
            <w:vAlign w:val="center"/>
          </w:tcPr>
          <w:p>
            <w:pPr>
              <w:pStyle w:val="20"/>
              <w:jc w:val="center"/>
              <w:rPr>
                <w:spacing w:val="-1"/>
                <w:sz w:val="20"/>
              </w:rPr>
            </w:pPr>
            <w:r>
              <w:rPr>
                <w:spacing w:val="-1"/>
                <w:sz w:val="20"/>
              </w:rPr>
              <w:t>Процентная ставка</w:t>
            </w:r>
          </w:p>
        </w:tc>
        <w:tc>
          <w:tcPr>
            <w:tcW w:w="1177" w:type="dxa"/>
            <w:vAlign w:val="center"/>
          </w:tcPr>
          <w:p>
            <w:pPr>
              <w:pStyle w:val="20"/>
              <w:jc w:val="center"/>
              <w:rPr>
                <w:spacing w:val="-1"/>
                <w:sz w:val="20"/>
              </w:rPr>
            </w:pPr>
            <w:r>
              <w:rPr>
                <w:spacing w:val="-1"/>
                <w:sz w:val="20"/>
              </w:rPr>
              <w:t>Дата погашения</w:t>
            </w:r>
          </w:p>
        </w:tc>
      </w:tr>
      <w:tr>
        <w:trPr>
          <w:trHeight w:val="422"/>
        </w:trPr>
        <w:tc>
          <w:tcPr>
            <w:tcW w:w="449" w:type="dxa"/>
            <w:vAlign w:val="center"/>
          </w:tcPr>
          <w:p>
            <w:pPr>
              <w:pStyle w:val="20"/>
              <w:jc w:val="left"/>
              <w:rPr>
                <w:spacing w:val="-1"/>
                <w:sz w:val="20"/>
              </w:rPr>
            </w:pPr>
            <w:r>
              <w:rPr>
                <w:spacing w:val="-1"/>
                <w:sz w:val="20"/>
              </w:rPr>
              <w:t>1.</w:t>
            </w:r>
          </w:p>
        </w:tc>
        <w:tc>
          <w:tcPr>
            <w:tcW w:w="5109" w:type="dxa"/>
            <w:vAlign w:val="center"/>
          </w:tcPr>
          <w:p>
            <w:pPr>
              <w:pStyle w:val="20"/>
              <w:rPr>
                <w:spacing w:val="-1"/>
                <w:sz w:val="20"/>
              </w:rPr>
            </w:pPr>
            <w:r>
              <w:rPr>
                <w:spacing w:val="-1"/>
                <w:sz w:val="20"/>
              </w:rPr>
              <w:t xml:space="preserve">НСКБ «Левобережный», МК от 24.06.2019 </w:t>
            </w:r>
          </w:p>
        </w:tc>
        <w:tc>
          <w:tcPr>
            <w:tcW w:w="1347" w:type="dxa"/>
            <w:vAlign w:val="center"/>
          </w:tcPr>
          <w:p>
            <w:pPr>
              <w:pStyle w:val="20"/>
              <w:jc w:val="center"/>
              <w:rPr>
                <w:spacing w:val="-1"/>
                <w:sz w:val="20"/>
              </w:rPr>
            </w:pPr>
            <w:r>
              <w:rPr>
                <w:spacing w:val="-1"/>
                <w:sz w:val="20"/>
              </w:rPr>
              <w:t>100 000,00</w:t>
            </w:r>
          </w:p>
        </w:tc>
        <w:tc>
          <w:tcPr>
            <w:tcW w:w="1272" w:type="dxa"/>
            <w:vAlign w:val="center"/>
          </w:tcPr>
          <w:p>
            <w:pPr>
              <w:pStyle w:val="20"/>
              <w:jc w:val="center"/>
              <w:rPr>
                <w:spacing w:val="-1"/>
                <w:sz w:val="20"/>
              </w:rPr>
            </w:pPr>
            <w:r>
              <w:rPr>
                <w:spacing w:val="-1"/>
                <w:sz w:val="20"/>
              </w:rPr>
              <w:t>8,96</w:t>
            </w:r>
          </w:p>
        </w:tc>
        <w:tc>
          <w:tcPr>
            <w:tcW w:w="1177" w:type="dxa"/>
            <w:vAlign w:val="center"/>
          </w:tcPr>
          <w:p>
            <w:pPr>
              <w:pStyle w:val="20"/>
              <w:jc w:val="center"/>
              <w:rPr>
                <w:spacing w:val="-1"/>
                <w:sz w:val="20"/>
              </w:rPr>
            </w:pPr>
            <w:r>
              <w:rPr>
                <w:spacing w:val="-1"/>
                <w:sz w:val="20"/>
              </w:rPr>
              <w:t>23.06.2020</w:t>
            </w:r>
          </w:p>
        </w:tc>
      </w:tr>
      <w:tr>
        <w:trPr>
          <w:trHeight w:val="272"/>
        </w:trPr>
        <w:tc>
          <w:tcPr>
            <w:tcW w:w="449" w:type="dxa"/>
            <w:vAlign w:val="center"/>
          </w:tcPr>
          <w:p>
            <w:pPr>
              <w:pStyle w:val="20"/>
              <w:jc w:val="center"/>
              <w:rPr>
                <w:spacing w:val="-1"/>
                <w:sz w:val="20"/>
              </w:rPr>
            </w:pPr>
            <w:r>
              <w:rPr>
                <w:spacing w:val="-1"/>
                <w:sz w:val="20"/>
              </w:rPr>
              <w:t>2.</w:t>
            </w:r>
          </w:p>
        </w:tc>
        <w:tc>
          <w:tcPr>
            <w:tcW w:w="5109" w:type="dxa"/>
            <w:vAlign w:val="center"/>
          </w:tcPr>
          <w:p>
            <w:pPr>
              <w:pStyle w:val="20"/>
              <w:rPr>
                <w:spacing w:val="-1"/>
                <w:sz w:val="20"/>
              </w:rPr>
            </w:pPr>
            <w:r>
              <w:rPr>
                <w:spacing w:val="-1"/>
                <w:sz w:val="20"/>
              </w:rPr>
              <w:t>НСКБ «Левобережный», МК от 23.09.2019</w:t>
            </w:r>
          </w:p>
        </w:tc>
        <w:tc>
          <w:tcPr>
            <w:tcW w:w="1347" w:type="dxa"/>
            <w:vAlign w:val="center"/>
          </w:tcPr>
          <w:p>
            <w:pPr>
              <w:pStyle w:val="20"/>
              <w:jc w:val="center"/>
              <w:rPr>
                <w:spacing w:val="-1"/>
                <w:sz w:val="20"/>
              </w:rPr>
            </w:pPr>
            <w:r>
              <w:rPr>
                <w:spacing w:val="-1"/>
                <w:sz w:val="20"/>
              </w:rPr>
              <w:t>102 441,93</w:t>
            </w:r>
          </w:p>
        </w:tc>
        <w:tc>
          <w:tcPr>
            <w:tcW w:w="1272" w:type="dxa"/>
            <w:vAlign w:val="center"/>
          </w:tcPr>
          <w:p>
            <w:pPr>
              <w:pStyle w:val="20"/>
              <w:jc w:val="center"/>
              <w:rPr>
                <w:spacing w:val="-1"/>
                <w:sz w:val="20"/>
              </w:rPr>
            </w:pPr>
            <w:r>
              <w:rPr>
                <w:spacing w:val="-1"/>
                <w:sz w:val="20"/>
              </w:rPr>
              <w:t>8,7</w:t>
            </w:r>
          </w:p>
        </w:tc>
        <w:tc>
          <w:tcPr>
            <w:tcW w:w="1177" w:type="dxa"/>
            <w:vAlign w:val="center"/>
          </w:tcPr>
          <w:p>
            <w:pPr>
              <w:pStyle w:val="20"/>
              <w:jc w:val="center"/>
              <w:rPr>
                <w:spacing w:val="-1"/>
                <w:sz w:val="20"/>
              </w:rPr>
            </w:pPr>
            <w:r>
              <w:rPr>
                <w:spacing w:val="-1"/>
                <w:sz w:val="20"/>
              </w:rPr>
              <w:t>23.03.2021</w:t>
            </w:r>
          </w:p>
        </w:tc>
      </w:tr>
    </w:tbl>
    <w:p>
      <w:pPr>
        <w:pStyle w:val="20"/>
        <w:rPr>
          <w:color w:val="FFFF00"/>
          <w:szCs w:val="24"/>
          <w:highlight w:val="yellow"/>
        </w:rPr>
      </w:pPr>
    </w:p>
    <w:p>
      <w:pPr>
        <w:pStyle w:val="31"/>
        <w:ind w:right="45"/>
        <w:jc w:val="center"/>
        <w:rPr>
          <w:sz w:val="24"/>
          <w:szCs w:val="24"/>
          <w:highlight w:val="yellow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5939790" cy="3937686"/>
            <wp:effectExtent l="0" t="0" r="0" b="0"/>
            <wp:docPr id="16" name="Объект 6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240780" cy="4535805"/>
                      <a:chOff x="0" y="0"/>
                      <a:chExt cx="6240780" cy="4535805"/>
                    </a:xfrm>
                  </a:grpSpPr>
                  <a:grpSp>
                    <a:nvGrpSpPr>
                      <a:cNvPr id="16" name="Группа 15"/>
                      <a:cNvGrpSpPr/>
                    </a:nvGrpSpPr>
                    <a:grpSpPr>
                      <a:xfrm>
                        <a:off x="0" y="0"/>
                        <a:ext cx="6240780" cy="4535805"/>
                        <a:chOff x="0" y="0"/>
                        <a:chExt cx="6086475" cy="4726305"/>
                      </a:xfrm>
                    </a:grpSpPr>
                    <a:graphicFrame>
                      <a:nvGraphicFramePr>
                        <a:cNvPr id="3" name="Диаграмма 2"/>
                        <a:cNvGraphicFramePr/>
                      </a:nvGraphicFramePr>
                      <a:graphic>
                        <a:graphicData uri="http://schemas.openxmlformats.org/drawingml/2006/chart">
                          <c:chart xmlns:c="http://schemas.openxmlformats.org/drawingml/2006/chart" xmlns:r="http://schemas.openxmlformats.org/officeDocument/2006/relationships" r:id="rId19"/>
                        </a:graphicData>
                      </a:graphic>
                      <a:xfrm>
                        <a:off x="0" y="0"/>
                        <a:ext cx="6086475" cy="4726305"/>
                      </a:xfrm>
                    </a:graphicFrame>
                    <a:sp>
                      <a:nvSpPr>
                        <a:cNvPr id="4" name="TextBox 3"/>
                        <a:cNvSpPr txBox="1"/>
                      </a:nvSpPr>
                      <a:spPr>
                        <a:xfrm>
                          <a:off x="1209675" y="1781175"/>
                          <a:ext cx="685800" cy="209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9525" cmpd="sng">
                          <a:solidFill>
                            <a:schemeClr val="lt1">
                              <a:shade val="50000"/>
                            </a:schemeClr>
                          </a:solidFill>
                        </a:ln>
                      </a:spPr>
                      <a:txSp>
                        <a:txBody>
                          <a:bodyPr wrap="square" rtlCol="0" anchor="t"/>
                          <a:lstStyle>
                            <a:lvl1pPr marL="0" indent="0">
                              <a:defRPr sz="11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indent="0">
                              <a:defRPr sz="11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indent="0">
                              <a:defRPr sz="11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indent="0">
                              <a:defRPr sz="11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indent="0">
                              <a:defRPr sz="11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indent="0">
                              <a:defRPr sz="11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indent="0">
                              <a:defRPr sz="11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indent="0">
                              <a:defRPr sz="11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indent="0">
                              <a:defRPr sz="11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ru-RU" sz="1100" b="1">
                                <a:latin typeface="Times New Roman" pitchFamily="18" charset="0"/>
                                <a:cs typeface="Times New Roman" pitchFamily="18" charset="0"/>
                              </a:rPr>
                              <a:t>91 100</a:t>
                            </a:r>
                          </a:p>
                        </a:txBody>
                        <a:useSpRect/>
                      </a:txSp>
                      <a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a:style>
                    </a:sp>
                    <a:sp>
                      <a:nvSpPr>
                        <a:cNvPr id="5" name="TextBox 4"/>
                        <a:cNvSpPr txBox="1"/>
                      </a:nvSpPr>
                      <a:spPr>
                        <a:xfrm>
                          <a:off x="2419350" y="1762125"/>
                          <a:ext cx="685800" cy="209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9525" cmpd="sng">
                          <a:solidFill>
                            <a:schemeClr val="lt1">
                              <a:shade val="50000"/>
                            </a:schemeClr>
                          </a:solidFill>
                        </a:ln>
                      </a:spPr>
                      <a:txSp>
                        <a:txBody>
                          <a:bodyPr wrap="square" rtlCol="0" anchor="t"/>
                          <a:lstStyle>
                            <a:lvl1pPr marL="0" indent="0">
                              <a:defRPr sz="11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indent="0">
                              <a:defRPr sz="11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indent="0">
                              <a:defRPr sz="11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indent="0">
                              <a:defRPr sz="11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indent="0">
                              <a:defRPr sz="11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indent="0">
                              <a:defRPr sz="11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indent="0">
                              <a:defRPr sz="11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indent="0">
                              <a:defRPr sz="11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indent="0">
                              <a:defRPr sz="11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ru-RU" sz="1100" b="1">
                                <a:solidFill>
                                  <a:schemeClr val="dk1"/>
                                </a:solidFill>
                                <a:latin typeface="Times New Roman" pitchFamily="18" charset="0"/>
                                <a:ea typeface="+mn-ea"/>
                                <a:cs typeface="Times New Roman" pitchFamily="18" charset="0"/>
                              </a:rPr>
                              <a:t>128 918</a:t>
                            </a:r>
                            <a:endParaRPr lang="ru-RU">
                              <a:latin typeface="Times New Roman" pitchFamily="18" charset="0"/>
                              <a:cs typeface="Times New Roman" pitchFamily="18" charset="0"/>
                            </a:endParaRPr>
                          </a:p>
                        </a:txBody>
                        <a:useSpRect/>
                      </a:txSp>
                      <a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a:style>
                    </a:sp>
                    <a:sp>
                      <a:nvSpPr>
                        <a:cNvPr id="6" name="TextBox 5"/>
                        <a:cNvSpPr txBox="1"/>
                      </a:nvSpPr>
                      <a:spPr>
                        <a:xfrm>
                          <a:off x="3600450" y="1028700"/>
                          <a:ext cx="685800" cy="209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9525" cmpd="sng">
                          <a:solidFill>
                            <a:schemeClr val="lt1">
                              <a:shade val="50000"/>
                            </a:schemeClr>
                          </a:solidFill>
                        </a:ln>
                      </a:spPr>
                      <a:txSp>
                        <a:txBody>
                          <a:bodyPr wrap="square" rtlCol="0" anchor="t"/>
                          <a:lstStyle>
                            <a:lvl1pPr marL="0" indent="0">
                              <a:defRPr sz="11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indent="0">
                              <a:defRPr sz="11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indent="0">
                              <a:defRPr sz="11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indent="0">
                              <a:defRPr sz="11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indent="0">
                              <a:defRPr sz="11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indent="0">
                              <a:defRPr sz="11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indent="0">
                              <a:defRPr sz="11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indent="0">
                              <a:defRPr sz="11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indent="0">
                              <a:defRPr sz="11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ru-RU" sz="1100" b="1">
                                <a:latin typeface="Times New Roman" pitchFamily="18" charset="0"/>
                                <a:cs typeface="Times New Roman" pitchFamily="18" charset="0"/>
                              </a:rPr>
                              <a:t>164</a:t>
                            </a:r>
                            <a:r>
                              <a:rPr lang="ru-RU" sz="1100" b="1" baseline="0">
                                <a:latin typeface="Times New Roman" pitchFamily="18" charset="0"/>
                                <a:cs typeface="Times New Roman" pitchFamily="18" charset="0"/>
                              </a:rPr>
                              <a:t> 998</a:t>
                            </a:r>
                            <a:endParaRPr lang="ru-RU" sz="1100" b="1">
                              <a:latin typeface="Times New Roman" pitchFamily="18" charset="0"/>
                              <a:cs typeface="Times New Roman" pitchFamily="18" charset="0"/>
                            </a:endParaRPr>
                          </a:p>
                        </a:txBody>
                        <a:useSpRect/>
                      </a:txSp>
                      <a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a:style>
                    </a:sp>
                    <a:sp>
                      <a:nvSpPr>
                        <a:cNvPr id="7" name="TextBox 6"/>
                        <a:cNvSpPr txBox="1"/>
                      </a:nvSpPr>
                      <a:spPr>
                        <a:xfrm>
                          <a:off x="4791075" y="314325"/>
                          <a:ext cx="685800" cy="209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9525" cmpd="sng">
                          <a:solidFill>
                            <a:schemeClr val="lt1">
                              <a:shade val="50000"/>
                            </a:schemeClr>
                          </a:solidFill>
                        </a:ln>
                      </a:spPr>
                      <a:txSp>
                        <a:txBody>
                          <a:bodyPr wrap="square" rtlCol="0" anchor="t"/>
                          <a:lstStyle>
                            <a:lvl1pPr marL="0" indent="0">
                              <a:defRPr sz="11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indent="0">
                              <a:defRPr sz="11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indent="0">
                              <a:defRPr sz="11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indent="0">
                              <a:defRPr sz="11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indent="0">
                              <a:defRPr sz="11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indent="0">
                              <a:defRPr sz="11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indent="0">
                              <a:defRPr sz="11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indent="0">
                              <a:defRPr sz="11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indent="0">
                              <a:defRPr sz="11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ru-RU" sz="1100" b="1">
                                <a:latin typeface="Times New Roman" pitchFamily="18" charset="0"/>
                                <a:cs typeface="Times New Roman" pitchFamily="18" charset="0"/>
                              </a:rPr>
                              <a:t>188 442</a:t>
                            </a:r>
                          </a:p>
                        </a:txBody>
                        <a:useSpRect/>
                      </a:txSp>
                      <a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a:style>
                    </a:sp>
                    <a:sp>
                      <a:nvSpPr>
                        <a:cNvPr id="8" name="TextBox 7"/>
                        <a:cNvSpPr txBox="1"/>
                      </a:nvSpPr>
                      <a:spPr>
                        <a:xfrm>
                          <a:off x="1209675" y="3562350"/>
                          <a:ext cx="466725" cy="304800"/>
                        </a:xfrm>
                        <a:prstGeom prst="rect">
                          <a:avLst/>
                        </a:prstGeom>
                        <a:noFill/>
                        <a:ln w="9525" cmpd="sng">
                          <a:solidFill>
                            <a:schemeClr val="lt1">
                              <a:shade val="50000"/>
                            </a:schemeClr>
                          </a:solidFill>
                        </a:ln>
                      </a:spPr>
                      <a:txSp>
                        <a:txBody>
                          <a:bodyPr wrap="square" rtlCol="0" anchor="t"/>
                          <a:lstStyle>
                            <a:lvl1pPr marL="0" indent="0">
                              <a:defRPr sz="11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indent="0">
                              <a:defRPr sz="11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indent="0">
                              <a:defRPr sz="11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indent="0">
                              <a:defRPr sz="11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indent="0">
                              <a:defRPr sz="11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indent="0">
                              <a:defRPr sz="11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indent="0">
                              <a:defRPr sz="11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indent="0">
                              <a:defRPr sz="11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indent="0">
                              <a:defRPr sz="11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ru-RU" sz="1100" b="1">
                                <a:latin typeface="Times New Roman" pitchFamily="18" charset="0"/>
                                <a:cs typeface="Times New Roman" pitchFamily="18" charset="0"/>
                              </a:rPr>
                              <a:t>22%</a:t>
                            </a:r>
                          </a:p>
                        </a:txBody>
                        <a:useSpRect/>
                      </a:txSp>
                      <a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a:style>
                    </a:sp>
                    <a:sp>
                      <a:nvSpPr>
                        <a:cNvPr id="9" name="TextBox 8"/>
                        <a:cNvSpPr txBox="1"/>
                      </a:nvSpPr>
                      <a:spPr>
                        <a:xfrm>
                          <a:off x="2348279" y="3552810"/>
                          <a:ext cx="466725" cy="266700"/>
                        </a:xfrm>
                        <a:prstGeom prst="rect">
                          <a:avLst/>
                        </a:prstGeom>
                        <a:noFill/>
                        <a:ln w="9525" cmpd="sng">
                          <a:solidFill>
                            <a:schemeClr val="lt1">
                              <a:shade val="50000"/>
                            </a:schemeClr>
                          </a:solidFill>
                        </a:ln>
                      </a:spPr>
                      <a:txSp>
                        <a:txBody>
                          <a:bodyPr wrap="square" rtlCol="0" anchor="t"/>
                          <a:lstStyle>
                            <a:lvl1pPr marL="0" indent="0">
                              <a:defRPr sz="11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indent="0">
                              <a:defRPr sz="11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indent="0">
                              <a:defRPr sz="11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indent="0">
                              <a:defRPr sz="11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indent="0">
                              <a:defRPr sz="11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indent="0">
                              <a:defRPr sz="11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indent="0">
                              <a:defRPr sz="11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indent="0">
                              <a:defRPr sz="11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indent="0">
                              <a:defRPr sz="11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ru-RU" sz="1100" b="1">
                                <a:latin typeface="Times New Roman" pitchFamily="18" charset="0"/>
                                <a:cs typeface="Times New Roman" pitchFamily="18" charset="0"/>
                              </a:rPr>
                              <a:t>63%</a:t>
                            </a:r>
                          </a:p>
                        </a:txBody>
                        <a:useSpRect/>
                      </a:txSp>
                      <a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a:style>
                    </a:sp>
                    <a:sp>
                      <a:nvSpPr>
                        <a:cNvPr id="10" name="TextBox 9"/>
                        <a:cNvSpPr txBox="1"/>
                      </a:nvSpPr>
                      <a:spPr>
                        <a:xfrm>
                          <a:off x="3590925" y="3543300"/>
                          <a:ext cx="466725" cy="304800"/>
                        </a:xfrm>
                        <a:prstGeom prst="rect">
                          <a:avLst/>
                        </a:prstGeom>
                        <a:noFill/>
                        <a:ln w="9525" cmpd="sng">
                          <a:solidFill>
                            <a:schemeClr val="lt1">
                              <a:shade val="50000"/>
                            </a:schemeClr>
                          </a:solidFill>
                        </a:ln>
                      </a:spPr>
                      <a:txSp>
                        <a:txBody>
                          <a:bodyPr wrap="square" rtlCol="0" anchor="t"/>
                          <a:lstStyle>
                            <a:lvl1pPr marL="0" indent="0">
                              <a:defRPr sz="11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indent="0">
                              <a:defRPr sz="11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indent="0">
                              <a:defRPr sz="11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indent="0">
                              <a:defRPr sz="11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indent="0">
                              <a:defRPr sz="11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indent="0">
                              <a:defRPr sz="11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indent="0">
                              <a:defRPr sz="11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indent="0">
                              <a:defRPr sz="11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indent="0">
                              <a:defRPr sz="11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ru-RU" sz="1100" b="1">
                                <a:latin typeface="Times New Roman" pitchFamily="18" charset="0"/>
                                <a:cs typeface="Times New Roman" pitchFamily="18" charset="0"/>
                              </a:rPr>
                              <a:t>29%</a:t>
                            </a:r>
                          </a:p>
                        </a:txBody>
                        <a:useSpRect/>
                      </a:txSp>
                      <a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a:style>
                    </a:sp>
                    <a:sp>
                      <a:nvSpPr>
                        <a:cNvPr id="11" name="TextBox 10"/>
                        <a:cNvSpPr txBox="1"/>
                      </a:nvSpPr>
                      <a:spPr>
                        <a:xfrm>
                          <a:off x="4727436" y="2114094"/>
                          <a:ext cx="573148" cy="304800"/>
                        </a:xfrm>
                        <a:prstGeom prst="rect">
                          <a:avLst/>
                        </a:prstGeom>
                        <a:noFill/>
                        <a:ln w="9525" cmpd="sng">
                          <a:solidFill>
                            <a:schemeClr val="lt1">
                              <a:shade val="50000"/>
                            </a:schemeClr>
                          </a:solidFill>
                        </a:ln>
                      </a:spPr>
                      <a:txSp>
                        <a:txBody>
                          <a:bodyPr wrap="square" rtlCol="0" anchor="t"/>
                          <a:lstStyle>
                            <a:lvl1pPr marL="0" indent="0">
                              <a:defRPr sz="11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indent="0">
                              <a:defRPr sz="11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indent="0">
                              <a:defRPr sz="11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indent="0">
                              <a:defRPr sz="11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indent="0">
                              <a:defRPr sz="11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indent="0">
                              <a:defRPr sz="11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indent="0">
                              <a:defRPr sz="11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indent="0">
                              <a:defRPr sz="11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indent="0">
                              <a:defRPr sz="11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ru-RU" sz="1100" b="1">
                                <a:latin typeface="Times New Roman" pitchFamily="18" charset="0"/>
                                <a:cs typeface="Times New Roman" pitchFamily="18" charset="0"/>
                              </a:rPr>
                              <a:t>100%</a:t>
                            </a:r>
                          </a:p>
                        </a:txBody>
                        <a:useSpRect/>
                      </a:txSp>
                      <a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a:style>
                    </a:sp>
                    <a:sp>
                      <a:nvSpPr>
                        <a:cNvPr id="12" name="TextBox 11"/>
                        <a:cNvSpPr txBox="1"/>
                      </a:nvSpPr>
                      <a:spPr>
                        <a:xfrm>
                          <a:off x="1209675" y="2533650"/>
                          <a:ext cx="466725" cy="304800"/>
                        </a:xfrm>
                        <a:prstGeom prst="rect">
                          <a:avLst/>
                        </a:prstGeom>
                        <a:noFill/>
                        <a:ln w="9525" cmpd="sng">
                          <a:solidFill>
                            <a:schemeClr val="lt1">
                              <a:shade val="50000"/>
                            </a:schemeClr>
                          </a:solidFill>
                        </a:ln>
                      </a:spPr>
                      <a:txSp>
                        <a:txBody>
                          <a:bodyPr wrap="square" rtlCol="0" anchor="t"/>
                          <a:lstStyle>
                            <a:lvl1pPr marL="0" indent="0">
                              <a:defRPr sz="11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indent="0">
                              <a:defRPr sz="11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indent="0">
                              <a:defRPr sz="11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indent="0">
                              <a:defRPr sz="11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indent="0">
                              <a:defRPr sz="11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indent="0">
                              <a:defRPr sz="11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indent="0">
                              <a:defRPr sz="11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indent="0">
                              <a:defRPr sz="11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indent="0">
                              <a:defRPr sz="11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ru-RU" sz="1100" b="1">
                                <a:latin typeface="Times New Roman" pitchFamily="18" charset="0"/>
                                <a:cs typeface="Times New Roman" pitchFamily="18" charset="0"/>
                              </a:rPr>
                              <a:t>78%</a:t>
                            </a:r>
                          </a:p>
                        </a:txBody>
                        <a:useSpRect/>
                      </a:txSp>
                      <a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a:style>
                    </a:sp>
                    <a:sp>
                      <a:nvSpPr>
                        <a:cNvPr id="13" name="TextBox 12"/>
                        <a:cNvSpPr txBox="1"/>
                      </a:nvSpPr>
                      <a:spPr>
                        <a:xfrm>
                          <a:off x="2378006" y="2187458"/>
                          <a:ext cx="466725" cy="304800"/>
                        </a:xfrm>
                        <a:prstGeom prst="rect">
                          <a:avLst/>
                        </a:prstGeom>
                        <a:noFill/>
                        <a:ln w="9525" cmpd="sng">
                          <a:solidFill>
                            <a:schemeClr val="lt1">
                              <a:shade val="50000"/>
                            </a:schemeClr>
                          </a:solidFill>
                        </a:ln>
                      </a:spPr>
                      <a:txSp>
                        <a:txBody>
                          <a:bodyPr wrap="square" rtlCol="0" anchor="t"/>
                          <a:lstStyle>
                            <a:lvl1pPr marL="0" indent="0">
                              <a:defRPr sz="11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indent="0">
                              <a:defRPr sz="11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indent="0">
                              <a:defRPr sz="11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indent="0">
                              <a:defRPr sz="11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indent="0">
                              <a:defRPr sz="11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indent="0">
                              <a:defRPr sz="11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indent="0">
                              <a:defRPr sz="11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indent="0">
                              <a:defRPr sz="11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indent="0">
                              <a:defRPr sz="11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ru-RU" sz="1100" b="1">
                                <a:latin typeface="Times New Roman" pitchFamily="18" charset="0"/>
                                <a:cs typeface="Times New Roman" pitchFamily="18" charset="0"/>
                              </a:rPr>
                              <a:t>37%</a:t>
                            </a:r>
                          </a:p>
                        </a:txBody>
                        <a:useSpRect/>
                      </a:txSp>
                      <a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a:style>
                    </a:sp>
                    <a:sp>
                      <a:nvSpPr>
                        <a:cNvPr id="14" name="TextBox 13"/>
                        <a:cNvSpPr txBox="1"/>
                      </a:nvSpPr>
                      <a:spPr>
                        <a:xfrm>
                          <a:off x="3600450" y="1771650"/>
                          <a:ext cx="466725" cy="304800"/>
                        </a:xfrm>
                        <a:prstGeom prst="rect">
                          <a:avLst/>
                        </a:prstGeom>
                        <a:noFill/>
                        <a:ln w="9525" cmpd="sng">
                          <a:solidFill>
                            <a:schemeClr val="lt1">
                              <a:shade val="50000"/>
                            </a:schemeClr>
                          </a:solidFill>
                        </a:ln>
                      </a:spPr>
                      <a:txSp>
                        <a:txBody>
                          <a:bodyPr wrap="square" rtlCol="0" anchor="t"/>
                          <a:lstStyle>
                            <a:lvl1pPr marL="0" indent="0">
                              <a:defRPr sz="11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indent="0">
                              <a:defRPr sz="11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indent="0">
                              <a:defRPr sz="11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indent="0">
                              <a:defRPr sz="11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indent="0">
                              <a:defRPr sz="11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indent="0">
                              <a:defRPr sz="11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indent="0">
                              <a:defRPr sz="11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indent="0">
                              <a:defRPr sz="11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indent="0">
                              <a:defRPr sz="11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ru-RU" sz="1100" b="1">
                                <a:latin typeface="Times New Roman" pitchFamily="18" charset="0"/>
                                <a:cs typeface="Times New Roman" pitchFamily="18" charset="0"/>
                              </a:rPr>
                              <a:t>71%</a:t>
                            </a:r>
                          </a:p>
                        </a:txBody>
                        <a:useSpRect/>
                      </a:txSp>
                      <a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a:style>
                    </a:sp>
                  </a:grpSp>
                </lc:lockedCanvas>
              </a:graphicData>
            </a:graphic>
          </wp:inline>
        </w:drawing>
      </w:r>
    </w:p>
    <w:p>
      <w:pPr>
        <w:pStyle w:val="31"/>
        <w:ind w:right="45"/>
        <w:jc w:val="center"/>
        <w:rPr>
          <w:sz w:val="24"/>
          <w:szCs w:val="24"/>
        </w:rPr>
      </w:pPr>
      <w:r>
        <w:rPr>
          <w:sz w:val="24"/>
          <w:szCs w:val="24"/>
        </w:rPr>
        <w:t>Рисунок 12. Структура и динамика муниципального долга ЗАТО Северск</w:t>
      </w:r>
    </w:p>
    <w:p>
      <w:pPr>
        <w:pStyle w:val="20"/>
        <w:ind w:firstLine="567"/>
        <w:rPr>
          <w:spacing w:val="-4"/>
          <w:sz w:val="10"/>
          <w:szCs w:val="10"/>
        </w:rPr>
      </w:pPr>
    </w:p>
    <w:p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С учетом дополнения в Бюджетный кодекс Российской Федерации нормы, вступившей в действие с 1 января 2020 года, по оценке долговой устойчивости муниципального образования (ст.107.1) муниципальное образование ЗАТО Северск по установленному перечню показателей относится к группе с высокой долговой устойчивостью.</w:t>
      </w:r>
    </w:p>
    <w:p>
      <w:pPr>
        <w:spacing w:line="264" w:lineRule="auto"/>
        <w:jc w:val="both"/>
        <w:rPr>
          <w:b/>
          <w:sz w:val="24"/>
          <w:szCs w:val="24"/>
        </w:rPr>
      </w:pPr>
    </w:p>
    <w:p>
      <w:pPr>
        <w:spacing w:before="120"/>
        <w:ind w:right="5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Начальник Финансового управления                                                       </w:t>
      </w:r>
      <w:r>
        <w:rPr>
          <w:sz w:val="24"/>
          <w:szCs w:val="24"/>
        </w:rPr>
        <w:tab/>
        <w:t xml:space="preserve">          Л.И.Овчаренко                                        </w:t>
      </w:r>
    </w:p>
    <w:p>
      <w:pPr>
        <w:spacing w:line="264" w:lineRule="auto"/>
        <w:ind w:right="55"/>
        <w:jc w:val="right"/>
        <w:rPr>
          <w:i/>
          <w:sz w:val="24"/>
          <w:szCs w:val="24"/>
        </w:rPr>
      </w:pPr>
    </w:p>
    <w:p>
      <w:pPr>
        <w:spacing w:line="264" w:lineRule="auto"/>
        <w:ind w:right="55"/>
        <w:rPr>
          <w:i/>
          <w:sz w:val="24"/>
          <w:szCs w:val="24"/>
        </w:rPr>
      </w:pPr>
    </w:p>
    <w:p>
      <w:pPr>
        <w:spacing w:line="264" w:lineRule="auto"/>
        <w:ind w:right="55"/>
        <w:rPr>
          <w:i/>
          <w:sz w:val="24"/>
          <w:szCs w:val="24"/>
        </w:rPr>
      </w:pPr>
    </w:p>
    <w:p>
      <w:pPr>
        <w:spacing w:line="264" w:lineRule="auto"/>
        <w:ind w:right="55"/>
        <w:rPr>
          <w:i/>
          <w:sz w:val="24"/>
          <w:szCs w:val="24"/>
        </w:rPr>
      </w:pPr>
    </w:p>
    <w:p>
      <w:pPr>
        <w:spacing w:line="264" w:lineRule="auto"/>
        <w:ind w:right="55"/>
        <w:rPr>
          <w:i/>
          <w:sz w:val="24"/>
          <w:szCs w:val="24"/>
        </w:rPr>
      </w:pPr>
    </w:p>
    <w:p>
      <w:pPr>
        <w:spacing w:line="264" w:lineRule="auto"/>
        <w:ind w:right="55"/>
        <w:rPr>
          <w:i/>
          <w:sz w:val="24"/>
          <w:szCs w:val="24"/>
        </w:rPr>
      </w:pPr>
    </w:p>
    <w:p>
      <w:pPr>
        <w:spacing w:line="264" w:lineRule="auto"/>
        <w:ind w:right="55"/>
        <w:rPr>
          <w:i/>
          <w:sz w:val="24"/>
          <w:szCs w:val="24"/>
        </w:rPr>
      </w:pPr>
    </w:p>
    <w:p>
      <w:pPr>
        <w:spacing w:line="264" w:lineRule="auto"/>
        <w:ind w:right="55"/>
        <w:rPr>
          <w:i/>
          <w:sz w:val="24"/>
          <w:szCs w:val="24"/>
        </w:rPr>
      </w:pPr>
    </w:p>
    <w:p>
      <w:pPr>
        <w:spacing w:line="264" w:lineRule="auto"/>
        <w:ind w:right="55"/>
        <w:rPr>
          <w:i/>
          <w:sz w:val="24"/>
          <w:szCs w:val="24"/>
        </w:rPr>
      </w:pPr>
    </w:p>
    <w:p>
      <w:pPr>
        <w:spacing w:line="264" w:lineRule="auto"/>
        <w:ind w:right="55"/>
        <w:rPr>
          <w:i/>
          <w:sz w:val="24"/>
          <w:szCs w:val="24"/>
        </w:rPr>
      </w:pPr>
    </w:p>
    <w:p>
      <w:pPr>
        <w:spacing w:line="264" w:lineRule="auto"/>
        <w:ind w:right="55"/>
        <w:rPr>
          <w:i/>
          <w:sz w:val="24"/>
          <w:szCs w:val="24"/>
        </w:rPr>
      </w:pPr>
    </w:p>
    <w:p>
      <w:pPr>
        <w:spacing w:line="264" w:lineRule="auto"/>
        <w:ind w:right="55"/>
        <w:rPr>
          <w:i/>
          <w:sz w:val="24"/>
          <w:szCs w:val="24"/>
        </w:rPr>
      </w:pPr>
    </w:p>
    <w:p>
      <w:pPr>
        <w:spacing w:line="264" w:lineRule="auto"/>
        <w:ind w:right="55"/>
        <w:rPr>
          <w:i/>
          <w:sz w:val="24"/>
          <w:szCs w:val="24"/>
        </w:rPr>
      </w:pPr>
    </w:p>
    <w:p>
      <w:pPr>
        <w:spacing w:line="264" w:lineRule="auto"/>
        <w:ind w:right="55"/>
        <w:rPr>
          <w:i/>
          <w:sz w:val="24"/>
          <w:szCs w:val="24"/>
        </w:rPr>
      </w:pPr>
    </w:p>
    <w:p>
      <w:pPr>
        <w:spacing w:line="264" w:lineRule="auto"/>
        <w:ind w:right="55"/>
        <w:rPr>
          <w:i/>
          <w:sz w:val="24"/>
          <w:szCs w:val="24"/>
        </w:rPr>
      </w:pPr>
    </w:p>
    <w:p>
      <w:pPr>
        <w:spacing w:line="264" w:lineRule="auto"/>
        <w:ind w:right="55"/>
        <w:rPr>
          <w:i/>
          <w:sz w:val="24"/>
          <w:szCs w:val="24"/>
        </w:rPr>
      </w:pPr>
    </w:p>
    <w:p>
      <w:pPr>
        <w:spacing w:line="264" w:lineRule="auto"/>
        <w:ind w:right="55"/>
        <w:jc w:val="both"/>
        <w:rPr>
          <w:sz w:val="22"/>
          <w:szCs w:val="22"/>
        </w:rPr>
      </w:pPr>
      <w:r>
        <w:rPr>
          <w:sz w:val="22"/>
          <w:szCs w:val="22"/>
        </w:rPr>
        <w:t>О.Н.Кириллова 77 38 60</w:t>
      </w:r>
    </w:p>
    <w:p>
      <w:pPr>
        <w:spacing w:line="264" w:lineRule="auto"/>
        <w:ind w:right="55"/>
        <w:jc w:val="both"/>
        <w:rPr>
          <w:sz w:val="22"/>
          <w:szCs w:val="22"/>
        </w:rPr>
      </w:pPr>
      <w:r>
        <w:rPr>
          <w:sz w:val="22"/>
          <w:szCs w:val="22"/>
        </w:rPr>
        <w:t>С.В.Шурыгина 77 39 09</w:t>
      </w:r>
    </w:p>
    <w:p>
      <w:pPr>
        <w:spacing w:line="264" w:lineRule="auto"/>
        <w:ind w:right="55"/>
        <w:jc w:val="both"/>
        <w:rPr>
          <w:sz w:val="22"/>
          <w:szCs w:val="22"/>
        </w:rPr>
      </w:pPr>
      <w:r>
        <w:rPr>
          <w:sz w:val="22"/>
          <w:szCs w:val="22"/>
        </w:rPr>
        <w:t>Е.В.Чеснокова 77 23 83</w:t>
      </w:r>
    </w:p>
    <w:p>
      <w:pPr>
        <w:spacing w:line="264" w:lineRule="auto"/>
        <w:ind w:right="55"/>
        <w:jc w:val="both"/>
        <w:rPr>
          <w:sz w:val="22"/>
          <w:szCs w:val="22"/>
        </w:rPr>
      </w:pPr>
      <w:r>
        <w:rPr>
          <w:sz w:val="22"/>
          <w:szCs w:val="22"/>
        </w:rPr>
        <w:t>О.Ю.Шаперова 77 38 14</w:t>
      </w:r>
    </w:p>
    <w:p>
      <w:pPr>
        <w:spacing w:line="264" w:lineRule="auto"/>
        <w:ind w:right="55"/>
        <w:jc w:val="both"/>
        <w:rPr>
          <w:sz w:val="22"/>
          <w:szCs w:val="22"/>
        </w:rPr>
      </w:pPr>
    </w:p>
    <w:p>
      <w:pPr>
        <w:spacing w:line="264" w:lineRule="auto"/>
        <w:ind w:right="55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lastRenderedPageBreak/>
        <w:t>Приложение к пояснительной записке</w:t>
      </w:r>
    </w:p>
    <w:p>
      <w:pPr>
        <w:spacing w:line="264" w:lineRule="auto"/>
        <w:ind w:right="55"/>
        <w:jc w:val="both"/>
        <w:rPr>
          <w:sz w:val="24"/>
          <w:szCs w:val="24"/>
        </w:rPr>
      </w:pPr>
    </w:p>
    <w:p>
      <w:pPr>
        <w:jc w:val="center"/>
        <w:rPr>
          <w:caps/>
          <w:sz w:val="24"/>
          <w:szCs w:val="24"/>
        </w:rPr>
      </w:pPr>
      <w:r>
        <w:rPr>
          <w:caps/>
          <w:sz w:val="24"/>
          <w:szCs w:val="24"/>
        </w:rPr>
        <w:t>РАСЧЕТ бюджетной и социальной эффективности льгот по ЗЕМЕЛЬНОМУ НАЛОГУ И налогу на имущество физических лиц</w:t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за 2019 год</w:t>
      </w:r>
    </w:p>
    <w:p>
      <w:pPr>
        <w:rPr>
          <w:b/>
          <w:i/>
          <w:sz w:val="24"/>
          <w:szCs w:val="24"/>
          <w:u w:val="single"/>
        </w:rPr>
      </w:pPr>
    </w:p>
    <w:p>
      <w:pPr>
        <w:shd w:val="clear" w:color="auto" w:fill="FFFFFF" w:themeFill="background1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Расчет бюджетной и социальной эффективности льгот по местным налогам выполнен в соответствии с Постановлением Главы Администрации ЗАТО Северск от 31.08.2007 №1848 «Об утверждении порядка оценки бюджетной и социальной эффективности льгот по местным налогам» в рамках повышения адресности и результативности финансовой поддержки хозяйствующих субъектов и населения.</w:t>
      </w:r>
    </w:p>
    <w:p>
      <w:pPr>
        <w:shd w:val="clear" w:color="auto" w:fill="FFFFFF" w:themeFill="background1"/>
        <w:spacing w:before="6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Целями выполнения данного расчета являются:</w:t>
      </w:r>
    </w:p>
    <w:p>
      <w:pPr>
        <w:numPr>
          <w:ilvl w:val="0"/>
          <w:numId w:val="6"/>
        </w:numPr>
        <w:shd w:val="clear" w:color="auto" w:fill="FFFFFF" w:themeFill="background1"/>
        <w:tabs>
          <w:tab w:val="clear" w:pos="855"/>
          <w:tab w:val="num" w:pos="284"/>
          <w:tab w:val="left" w:pos="993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Оценка потерь бюджета ЗАТО Северск связанных с использованием налогоплательщиками установленных налоговых льгот;</w:t>
      </w:r>
    </w:p>
    <w:p>
      <w:pPr>
        <w:numPr>
          <w:ilvl w:val="0"/>
          <w:numId w:val="6"/>
        </w:numPr>
        <w:shd w:val="clear" w:color="auto" w:fill="FFFFFF" w:themeFill="background1"/>
        <w:tabs>
          <w:tab w:val="clear" w:pos="855"/>
          <w:tab w:val="num" w:pos="284"/>
          <w:tab w:val="left" w:pos="993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Оценка потерь бюджета ЗАТО Северск в разрезе каждого налога по которому установлена льгота;</w:t>
      </w:r>
    </w:p>
    <w:p>
      <w:pPr>
        <w:numPr>
          <w:ilvl w:val="0"/>
          <w:numId w:val="6"/>
        </w:numPr>
        <w:shd w:val="clear" w:color="auto" w:fill="FFFFFF" w:themeFill="background1"/>
        <w:tabs>
          <w:tab w:val="clear" w:pos="855"/>
          <w:tab w:val="num" w:pos="284"/>
          <w:tab w:val="left" w:pos="993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Оценка бюджетной и социальной эффективности по каждой категории налогоплательщиков, осуществляющей использование налоговых льгот.</w:t>
      </w:r>
    </w:p>
    <w:p>
      <w:pPr>
        <w:spacing w:before="120"/>
        <w:ind w:firstLine="709"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Налог на имущество физических лиц</w:t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По налогу на имущество физических лиц льготы на 2019 год нормативными правовыми актами Думы ЗАТО Северск не устанавливались.</w:t>
      </w:r>
    </w:p>
    <w:p>
      <w:pPr>
        <w:spacing w:before="120"/>
        <w:ind w:firstLine="709"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Земельный налог</w:t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По земельному налогу решением Думы ЗАТО Северск от 07.11.2014 № 57/4 от уплаты налога полностью освобождаются следующие категории налогоплательщиков:</w:t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1) Герои Советского Союза, Герои Российской Федерации, полные кавалеры ордена Славы;</w:t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2) инвалиды I, II и III групп инвалидности;</w:t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3) инвалиды с детства;</w:t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4) ветераны и инвалиды Великой Отечественной войны, а также ветераны и инвалиды боевых действий, вдовы погибших (умерших) участников Великой Отечественной войны, вдовы и родители погибших (умерших) ветеранов боевых действий;</w:t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5) физические лица, имеющие право на получение социальной поддержки в соответствии с Законом Российской Федерации «О социальной защите граждан, подвергшихся воздействию радиации вследствие катастрофы на Чернобыльской АЭС», в соответствии с Федеральным законом от 26 ноября 1998 года № 175-ФЗ «О социальной защите граждан Российской Федерации, подвергшихся воздействию радиации вследствие аварии в 1957 году на производственном объединении «Маяк» и сбросов радиоактивных отходов в реку </w:t>
      </w:r>
      <w:proofErr w:type="spellStart"/>
      <w:r>
        <w:rPr>
          <w:sz w:val="24"/>
          <w:szCs w:val="24"/>
        </w:rPr>
        <w:t>Теча</w:t>
      </w:r>
      <w:proofErr w:type="spellEnd"/>
      <w:r>
        <w:rPr>
          <w:sz w:val="24"/>
          <w:szCs w:val="24"/>
        </w:rPr>
        <w:t>» и в соответствии с Федеральным законом от 10 января 2002 года № 2-ФЗ «О социальных гарантиях гражданам, подвергшимся радиационному воздействию вследствие ядерных испытаний на Семипалатинском полигоне»;</w:t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6) физические лица, принимавшие в составе подразделений особого риска непосредственное участие в испытаниях ядерного и термоядерного оружия, ликвидации аварий ядерных установок на средствах вооружения и военных объектах;</w:t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7) физические лица, получившие или перенесшие лучевую болезнь или ставшие инвалидами в результате испытаний, учений и иных работ, связанных с любыми видами ядерных установок, включая ядерное оружие и космическую технику.</w:t>
      </w:r>
    </w:p>
    <w:p>
      <w:pPr>
        <w:ind w:firstLine="708"/>
        <w:jc w:val="both"/>
        <w:rPr>
          <w:sz w:val="24"/>
          <w:szCs w:val="24"/>
        </w:rPr>
      </w:pP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Порядком расчета, утвержденным Постановлением Главы Администрации ЗАТО Северск от 31.08.2007 №1848, установлено, что налоговая льгота может быть признана эффективной в случае, если дисконтированная бюджетная или социальная эффективность предоставления льгот по местным налогам больше либо равна нулю и предусмотрено выполнение следующих этапов расчетов:</w:t>
      </w:r>
    </w:p>
    <w:p>
      <w:pPr>
        <w:jc w:val="center"/>
        <w:rPr>
          <w:sz w:val="24"/>
          <w:szCs w:val="24"/>
          <w:u w:val="single"/>
        </w:rPr>
      </w:pPr>
    </w:p>
    <w:p>
      <w:pPr>
        <w:jc w:val="center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Расчет суммы потерь доходов бюджета</w:t>
      </w:r>
    </w:p>
    <w:p>
      <w:pPr>
        <w:jc w:val="center"/>
        <w:rPr>
          <w:sz w:val="24"/>
          <w:szCs w:val="24"/>
          <w:u w:val="single"/>
        </w:rPr>
      </w:pP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Сумма потерь доходов бюджета определяется по формуле:</w:t>
      </w:r>
    </w:p>
    <w:p>
      <w:pPr>
        <w:jc w:val="center"/>
        <w:rPr>
          <w:sz w:val="24"/>
          <w:szCs w:val="24"/>
        </w:rPr>
      </w:pPr>
      <w:r>
        <w:rPr>
          <w:position w:val="-12"/>
          <w:sz w:val="24"/>
          <w:szCs w:val="24"/>
        </w:rPr>
        <w:object w:dxaOrig="152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9.25pt;height:22.25pt" o:ole="">
            <v:imagedata r:id="rId20" o:title=""/>
          </v:shape>
          <o:OLEObject Type="Embed" ProgID="Equation.3" ShapeID="_x0000_i1025" DrawAspect="Content" ObjectID="_1648473397" r:id="rId21"/>
        </w:object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где </w:t>
      </w:r>
      <w:r>
        <w:rPr>
          <w:i/>
          <w:sz w:val="24"/>
          <w:szCs w:val="24"/>
        </w:rPr>
        <w:t>Д</w:t>
      </w:r>
      <w:r>
        <w:rPr>
          <w:i/>
          <w:sz w:val="24"/>
          <w:szCs w:val="24"/>
          <w:vertAlign w:val="subscript"/>
        </w:rPr>
        <w:t xml:space="preserve">П </w:t>
      </w:r>
      <w:r>
        <w:rPr>
          <w:sz w:val="24"/>
          <w:szCs w:val="24"/>
        </w:rPr>
        <w:t xml:space="preserve">– сумма потерь доходов </w:t>
      </w:r>
      <w:proofErr w:type="gramStart"/>
      <w:r>
        <w:rPr>
          <w:sz w:val="24"/>
          <w:szCs w:val="24"/>
        </w:rPr>
        <w:t>бюджета</w:t>
      </w:r>
      <w:proofErr w:type="gramEnd"/>
      <w:r>
        <w:rPr>
          <w:sz w:val="24"/>
          <w:szCs w:val="24"/>
        </w:rPr>
        <w:t xml:space="preserve"> ЗАТО Северск от предоставления льгот,</w:t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>
        <w:rPr>
          <w:i/>
          <w:sz w:val="24"/>
          <w:szCs w:val="24"/>
        </w:rPr>
        <w:t>Д</w:t>
      </w:r>
      <w:r>
        <w:rPr>
          <w:sz w:val="24"/>
          <w:szCs w:val="24"/>
        </w:rPr>
        <w:t xml:space="preserve"> – доходы бюджета ЗАТО Северск до применения льготы по местным налогам,</w:t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>
        <w:rPr>
          <w:i/>
          <w:sz w:val="24"/>
          <w:szCs w:val="24"/>
        </w:rPr>
        <w:t>Д</w:t>
      </w:r>
      <w:r>
        <w:rPr>
          <w:i/>
          <w:sz w:val="24"/>
          <w:szCs w:val="24"/>
          <w:vertAlign w:val="subscript"/>
        </w:rPr>
        <w:t>Л</w:t>
      </w:r>
      <w:r>
        <w:rPr>
          <w:sz w:val="24"/>
          <w:szCs w:val="24"/>
        </w:rPr>
        <w:t xml:space="preserve"> – доходы бюджета ЗАТО Северск после применения льготы по местным налогам.</w:t>
      </w:r>
    </w:p>
    <w:p>
      <w:pPr>
        <w:ind w:firstLine="708"/>
        <w:jc w:val="both"/>
        <w:rPr>
          <w:sz w:val="24"/>
          <w:szCs w:val="24"/>
        </w:rPr>
      </w:pP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При расчете доходов бюджета после применения льготы по местным налогам оценка потерь производится по формуле:</w:t>
      </w:r>
    </w:p>
    <w:p>
      <w:pPr>
        <w:jc w:val="center"/>
        <w:rPr>
          <w:sz w:val="24"/>
          <w:szCs w:val="24"/>
        </w:rPr>
      </w:pPr>
      <w:r>
        <w:rPr>
          <w:position w:val="-12"/>
          <w:sz w:val="24"/>
          <w:szCs w:val="24"/>
        </w:rPr>
        <w:object w:dxaOrig="2720" w:dyaOrig="360">
          <v:shape id="_x0000_i1026" type="#_x0000_t75" style="width:136.75pt;height:22.25pt" o:ole="">
            <v:imagedata r:id="rId22" o:title=""/>
          </v:shape>
          <o:OLEObject Type="Embed" ProgID="Equation.3" ShapeID="_x0000_i1026" DrawAspect="Content" ObjectID="_1648473398" r:id="rId23"/>
        </w:object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где </w:t>
      </w:r>
      <w:r>
        <w:rPr>
          <w:i/>
          <w:sz w:val="24"/>
          <w:szCs w:val="24"/>
        </w:rPr>
        <w:t>Д</w:t>
      </w:r>
      <w:r>
        <w:rPr>
          <w:i/>
          <w:sz w:val="24"/>
          <w:szCs w:val="24"/>
          <w:vertAlign w:val="subscript"/>
        </w:rPr>
        <w:t>НБС</w:t>
      </w:r>
      <w:r>
        <w:rPr>
          <w:sz w:val="24"/>
          <w:szCs w:val="24"/>
        </w:rPr>
        <w:t xml:space="preserve"> – доходы </w:t>
      </w:r>
      <w:proofErr w:type="gramStart"/>
      <w:r>
        <w:rPr>
          <w:sz w:val="24"/>
          <w:szCs w:val="24"/>
        </w:rPr>
        <w:t>бюджета</w:t>
      </w:r>
      <w:proofErr w:type="gramEnd"/>
      <w:r>
        <w:rPr>
          <w:sz w:val="24"/>
          <w:szCs w:val="24"/>
        </w:rPr>
        <w:t xml:space="preserve"> ЗАТО Северск по сокращенной налоговой базе,</w:t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>
        <w:rPr>
          <w:i/>
          <w:sz w:val="24"/>
          <w:szCs w:val="24"/>
        </w:rPr>
        <w:t>Д</w:t>
      </w:r>
      <w:r>
        <w:rPr>
          <w:i/>
          <w:sz w:val="24"/>
          <w:szCs w:val="24"/>
          <w:vertAlign w:val="subscript"/>
        </w:rPr>
        <w:t>НСС</w:t>
      </w:r>
      <w:r>
        <w:rPr>
          <w:sz w:val="24"/>
          <w:szCs w:val="24"/>
        </w:rPr>
        <w:t xml:space="preserve"> – доходы бюджета ЗАТО Северск по сокращенной налоговой ставке,</w:t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>
        <w:rPr>
          <w:i/>
          <w:sz w:val="24"/>
          <w:szCs w:val="24"/>
        </w:rPr>
        <w:t>Д</w:t>
      </w:r>
      <w:r>
        <w:rPr>
          <w:i/>
          <w:sz w:val="24"/>
          <w:szCs w:val="24"/>
          <w:vertAlign w:val="subscript"/>
        </w:rPr>
        <w:t>ПО</w:t>
      </w:r>
      <w:r>
        <w:rPr>
          <w:sz w:val="24"/>
          <w:szCs w:val="24"/>
        </w:rPr>
        <w:t xml:space="preserve"> – доходы бюджета ЗАТО Северск при полном освобождении от уплаты налога.</w:t>
      </w:r>
    </w:p>
    <w:p>
      <w:pPr>
        <w:ind w:firstLine="708"/>
        <w:jc w:val="both"/>
        <w:rPr>
          <w:sz w:val="24"/>
          <w:szCs w:val="24"/>
        </w:rPr>
      </w:pPr>
    </w:p>
    <w:p>
      <w:pPr>
        <w:spacing w:after="12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На территории ЗАТО Северск льготы по местным налогам предоставлены только в форме полного освобождения от уплаты, поэтому:</w:t>
      </w:r>
    </w:p>
    <w:p>
      <w:pPr>
        <w:ind w:firstLine="708"/>
        <w:jc w:val="center"/>
        <w:rPr>
          <w:sz w:val="24"/>
          <w:szCs w:val="24"/>
        </w:rPr>
      </w:pPr>
      <w:r>
        <w:rPr>
          <w:position w:val="-12"/>
          <w:sz w:val="24"/>
          <w:szCs w:val="24"/>
        </w:rPr>
        <w:object w:dxaOrig="4260" w:dyaOrig="380">
          <v:shape id="_x0000_i1027" type="#_x0000_t75" style="width:208.75pt;height:22.25pt" o:ole="">
            <v:imagedata r:id="rId24" o:title=""/>
          </v:shape>
          <o:OLEObject Type="Embed" ProgID="Equation.3" ShapeID="_x0000_i1027" DrawAspect="Content" ObjectID="_1648473399" r:id="rId25"/>
        </w:object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Определение доходов бюджета ЗАТО Северск при полном освобождении от уплаты налога производится по формуле:</w:t>
      </w:r>
    </w:p>
    <w:p>
      <w:pPr>
        <w:jc w:val="center"/>
        <w:rPr>
          <w:sz w:val="24"/>
          <w:szCs w:val="24"/>
        </w:rPr>
      </w:pPr>
      <w:r>
        <w:rPr>
          <w:position w:val="-12"/>
          <w:sz w:val="24"/>
          <w:szCs w:val="24"/>
        </w:rPr>
        <w:object w:dxaOrig="2100" w:dyaOrig="360">
          <v:shape id="_x0000_i1028" type="#_x0000_t75" style="width:108.25pt;height:22.25pt" o:ole="">
            <v:imagedata r:id="rId26" o:title=""/>
          </v:shape>
          <o:OLEObject Type="Embed" ProgID="Equation.3" ShapeID="_x0000_i1028" DrawAspect="Content" ObjectID="_1648473400" r:id="rId27"/>
        </w:object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где </w:t>
      </w:r>
      <w:r>
        <w:rPr>
          <w:i/>
          <w:sz w:val="24"/>
          <w:szCs w:val="24"/>
        </w:rPr>
        <w:t>НБ</w:t>
      </w:r>
      <w:r>
        <w:rPr>
          <w:i/>
          <w:sz w:val="24"/>
          <w:szCs w:val="24"/>
          <w:vertAlign w:val="subscript"/>
        </w:rPr>
        <w:t>ПО</w:t>
      </w:r>
      <w:r>
        <w:rPr>
          <w:sz w:val="24"/>
          <w:szCs w:val="24"/>
        </w:rPr>
        <w:t xml:space="preserve"> – налоговая база, полностью освобождаемая от налогообложения,</w:t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>
        <w:rPr>
          <w:i/>
          <w:sz w:val="24"/>
          <w:szCs w:val="24"/>
        </w:rPr>
        <w:t>НС</w:t>
      </w:r>
      <w:r>
        <w:rPr>
          <w:i/>
          <w:sz w:val="24"/>
          <w:szCs w:val="24"/>
          <w:vertAlign w:val="subscript"/>
        </w:rPr>
        <w:t>ПО</w:t>
      </w:r>
      <w:r>
        <w:rPr>
          <w:sz w:val="24"/>
          <w:szCs w:val="24"/>
        </w:rPr>
        <w:t xml:space="preserve"> – налоговая ставка, применяемая к налоговой базе, освобождаемой от налогообложения.</w:t>
      </w:r>
    </w:p>
    <w:p>
      <w:pPr>
        <w:jc w:val="center"/>
        <w:rPr>
          <w:sz w:val="24"/>
          <w:szCs w:val="24"/>
          <w:highlight w:val="yellow"/>
          <w:u w:val="single"/>
        </w:rPr>
      </w:pPr>
    </w:p>
    <w:p>
      <w:pPr>
        <w:spacing w:before="120"/>
        <w:jc w:val="center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Расчет суммы потерь доходов бюджета за 2019 год </w:t>
      </w:r>
    </w:p>
    <w:p>
      <w:pPr>
        <w:spacing w:before="120"/>
        <w:ind w:firstLine="709"/>
        <w:jc w:val="both"/>
        <w:rPr>
          <w:i/>
          <w:sz w:val="24"/>
          <w:szCs w:val="24"/>
        </w:rPr>
      </w:pPr>
      <w:r>
        <w:rPr>
          <w:sz w:val="24"/>
          <w:szCs w:val="24"/>
        </w:rPr>
        <w:t>При полном освобождении от уплаты земельного налога сумма потерь доходов бюджета ЗАТО Северск составить 274,00 тыс.руб.:</w:t>
      </w:r>
    </w:p>
    <w:p>
      <w:pPr>
        <w:jc w:val="center"/>
        <w:rPr>
          <w:i/>
          <w:sz w:val="24"/>
          <w:szCs w:val="24"/>
        </w:rPr>
      </w:pPr>
      <w:r>
        <w:rPr>
          <w:position w:val="-12"/>
          <w:sz w:val="24"/>
          <w:szCs w:val="24"/>
        </w:rPr>
        <w:object w:dxaOrig="2240" w:dyaOrig="380">
          <v:shape id="_x0000_i1029" type="#_x0000_t75" style="width:122.75pt;height:22.25pt" o:ole="">
            <v:imagedata r:id="rId28" o:title=""/>
          </v:shape>
          <o:OLEObject Type="Embed" ProgID="Equation.3" ShapeID="_x0000_i1029" DrawAspect="Content" ObjectID="_1648473401" r:id="rId29"/>
        </w:object>
      </w:r>
      <w:r>
        <w:rPr>
          <w:sz w:val="24"/>
          <w:szCs w:val="24"/>
        </w:rPr>
        <w:t>274,00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уб.</w:t>
      </w:r>
    </w:p>
    <w:p>
      <w:pPr>
        <w:jc w:val="both"/>
        <w:rPr>
          <w:sz w:val="24"/>
          <w:szCs w:val="24"/>
        </w:rPr>
      </w:pPr>
      <w:r>
        <w:rPr>
          <w:i/>
          <w:position w:val="-12"/>
          <w:sz w:val="24"/>
          <w:szCs w:val="24"/>
        </w:rPr>
        <w:object w:dxaOrig="620" w:dyaOrig="380">
          <v:shape id="_x0000_i1030" type="#_x0000_t75" style="width:29pt;height:22.25pt" o:ole="">
            <v:imagedata r:id="rId30" o:title=""/>
          </v:shape>
          <o:OLEObject Type="Embed" ProgID="Equation.3" ShapeID="_x0000_i1030" DrawAspect="Content" ObjectID="_1648473402" r:id="rId31"/>
        </w:object>
      </w:r>
      <w:r>
        <w:rPr>
          <w:i/>
          <w:sz w:val="24"/>
          <w:szCs w:val="24"/>
        </w:rPr>
        <w:t xml:space="preserve">- </w:t>
      </w:r>
      <w:r>
        <w:rPr>
          <w:sz w:val="24"/>
          <w:szCs w:val="24"/>
        </w:rPr>
        <w:t>кадастровая стоимость земли,</w:t>
      </w:r>
    </w:p>
    <w:p>
      <w:pPr>
        <w:jc w:val="both"/>
        <w:rPr>
          <w:sz w:val="24"/>
          <w:szCs w:val="24"/>
        </w:rPr>
      </w:pPr>
      <w:r>
        <w:rPr>
          <w:i/>
          <w:position w:val="-12"/>
          <w:sz w:val="24"/>
          <w:szCs w:val="24"/>
        </w:rPr>
        <w:object w:dxaOrig="639" w:dyaOrig="380">
          <v:shape id="_x0000_i1031" type="#_x0000_t75" style="width:29pt;height:22.25pt" o:ole="">
            <v:imagedata r:id="rId32" o:title=""/>
          </v:shape>
          <o:OLEObject Type="Embed" ProgID="Equation.3" ShapeID="_x0000_i1031" DrawAspect="Content" ObjectID="_1648473403" r:id="rId33"/>
        </w:object>
      </w:r>
      <w:r>
        <w:rPr>
          <w:i/>
          <w:sz w:val="24"/>
          <w:szCs w:val="24"/>
        </w:rPr>
        <w:t xml:space="preserve">- </w:t>
      </w:r>
      <w:r>
        <w:rPr>
          <w:sz w:val="24"/>
          <w:szCs w:val="24"/>
        </w:rPr>
        <w:t>налоговая ставка, зависящая от назначения земель (0,3%-1,5).</w:t>
      </w:r>
    </w:p>
    <w:p>
      <w:pPr>
        <w:spacing w:before="120"/>
        <w:ind w:firstLine="709"/>
        <w:jc w:val="both"/>
        <w:rPr>
          <w:sz w:val="24"/>
          <w:szCs w:val="24"/>
        </w:rPr>
      </w:pPr>
      <w:r>
        <w:rPr>
          <w:sz w:val="24"/>
          <w:szCs w:val="24"/>
          <w:lang w:val="en-US"/>
        </w:rPr>
        <w:t>C</w:t>
      </w:r>
      <w:proofErr w:type="spellStart"/>
      <w:r>
        <w:rPr>
          <w:sz w:val="24"/>
          <w:szCs w:val="24"/>
        </w:rPr>
        <w:t>умма</w:t>
      </w:r>
      <w:proofErr w:type="spellEnd"/>
      <w:r>
        <w:rPr>
          <w:sz w:val="24"/>
          <w:szCs w:val="24"/>
        </w:rPr>
        <w:t xml:space="preserve"> потерь доходов бюджета равна:</w:t>
      </w:r>
    </w:p>
    <w:p>
      <w:pPr>
        <w:jc w:val="center"/>
        <w:rPr>
          <w:sz w:val="24"/>
          <w:szCs w:val="24"/>
        </w:rPr>
      </w:pPr>
      <w:r>
        <w:rPr>
          <w:position w:val="-10"/>
          <w:sz w:val="24"/>
          <w:szCs w:val="24"/>
        </w:rPr>
        <w:object w:dxaOrig="720" w:dyaOrig="360">
          <v:shape id="_x0000_i1032" type="#_x0000_t75" style="width:36.25pt;height:22.25pt" o:ole="">
            <v:imagedata r:id="rId34" o:title=""/>
          </v:shape>
          <o:OLEObject Type="Embed" ProgID="Equation.3" ShapeID="_x0000_i1032" DrawAspect="Content" ObjectID="_1648473404" r:id="rId35"/>
        </w:object>
      </w:r>
      <w:r>
        <w:rPr>
          <w:sz w:val="24"/>
          <w:szCs w:val="24"/>
        </w:rPr>
        <w:t>274,00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уб.</w:t>
      </w:r>
    </w:p>
    <w:p>
      <w:pPr>
        <w:jc w:val="center"/>
        <w:rPr>
          <w:sz w:val="24"/>
          <w:szCs w:val="24"/>
          <w:u w:val="single"/>
        </w:rPr>
      </w:pPr>
    </w:p>
    <w:p>
      <w:pPr>
        <w:jc w:val="center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Расчет сумм бюджетного и социального эффекта от предоставления льгот </w:t>
      </w:r>
    </w:p>
    <w:p>
      <w:pPr>
        <w:jc w:val="center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по местным налогам за 2019 год </w:t>
      </w:r>
    </w:p>
    <w:p>
      <w:pPr>
        <w:spacing w:before="12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Для физических лиц сумма социального эффекта при полном освобождении от уплаты земельного налога равна:</w:t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</w:t>
      </w:r>
      <w:r>
        <w:rPr>
          <w:position w:val="-12"/>
          <w:sz w:val="24"/>
          <w:szCs w:val="24"/>
        </w:rPr>
        <w:object w:dxaOrig="980" w:dyaOrig="360">
          <v:shape id="_x0000_i1033" type="#_x0000_t75" style="width:50.75pt;height:22.25pt" o:ole="">
            <v:imagedata r:id="rId36" o:title=""/>
          </v:shape>
          <o:OLEObject Type="Embed" ProgID="Equation.3" ShapeID="_x0000_i1033" DrawAspect="Content" ObjectID="_1648473405" r:id="rId37"/>
        </w:object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</w:t>
      </w:r>
      <w:r>
        <w:rPr>
          <w:position w:val="-12"/>
          <w:sz w:val="24"/>
          <w:szCs w:val="24"/>
        </w:rPr>
        <w:object w:dxaOrig="660" w:dyaOrig="380">
          <v:shape id="_x0000_i1034" type="#_x0000_t75" style="width:36.25pt;height:22.25pt" o:ole="">
            <v:imagedata r:id="rId38" o:title=""/>
          </v:shape>
          <o:OLEObject Type="Embed" ProgID="Equation.3" ShapeID="_x0000_i1034" DrawAspect="Content" ObjectID="_1648473406" r:id="rId39"/>
        </w:object>
      </w:r>
      <w:r>
        <w:rPr>
          <w:sz w:val="24"/>
          <w:szCs w:val="24"/>
        </w:rPr>
        <w:t>274,00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уб.</w:t>
      </w:r>
    </w:p>
    <w:p>
      <w:pPr>
        <w:rPr>
          <w:sz w:val="24"/>
          <w:szCs w:val="24"/>
        </w:rPr>
      </w:pPr>
    </w:p>
    <w:p>
      <w:pPr>
        <w:jc w:val="center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Расчет бюджетной и социальной эффективности от предоставления льгот </w:t>
      </w:r>
    </w:p>
    <w:p>
      <w:pPr>
        <w:jc w:val="center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по местным налогам за 2019 год</w:t>
      </w:r>
    </w:p>
    <w:p>
      <w:pPr>
        <w:spacing w:before="120"/>
        <w:ind w:firstLine="709"/>
        <w:rPr>
          <w:sz w:val="24"/>
          <w:szCs w:val="24"/>
        </w:rPr>
      </w:pPr>
      <w:r>
        <w:rPr>
          <w:sz w:val="24"/>
          <w:szCs w:val="24"/>
        </w:rPr>
        <w:t>По земельному налогу эффективность равна:</w:t>
      </w:r>
    </w:p>
    <w:p>
      <w:pPr>
        <w:jc w:val="center"/>
        <w:rPr>
          <w:sz w:val="24"/>
          <w:szCs w:val="24"/>
        </w:rPr>
      </w:pPr>
      <w:r>
        <w:rPr>
          <w:position w:val="-12"/>
          <w:sz w:val="24"/>
          <w:szCs w:val="24"/>
        </w:rPr>
        <w:object w:dxaOrig="4020" w:dyaOrig="380">
          <v:shape id="_x0000_i1035" type="#_x0000_t75" style="width:193.75pt;height:22.25pt" o:ole="">
            <v:imagedata r:id="rId40" o:title=""/>
          </v:shape>
          <o:OLEObject Type="Embed" ProgID="Equation.3" ShapeID="_x0000_i1035" DrawAspect="Content" ObjectID="_1648473407" r:id="rId41"/>
        </w:object>
      </w:r>
      <w:r>
        <w:rPr>
          <w:sz w:val="24"/>
          <w:szCs w:val="24"/>
        </w:rPr>
        <w:t>274,00 – 274,00 = 0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уб.;</w:t>
      </w:r>
    </w:p>
    <w:p>
      <w:pPr>
        <w:spacing w:after="6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При определении средневзвешенной учетной (ключевой) ставки Центрального банка РФ за 2019 год необходимо учесть все действующие в течение 2019 года ставки и продолжительность их действия: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908"/>
        <w:gridCol w:w="6"/>
        <w:gridCol w:w="2514"/>
        <w:gridCol w:w="2059"/>
        <w:gridCol w:w="2981"/>
      </w:tblGrid>
      <w:tr>
        <w:tc>
          <w:tcPr>
            <w:tcW w:w="1908" w:type="dxa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ставки</w:t>
            </w:r>
          </w:p>
        </w:tc>
        <w:tc>
          <w:tcPr>
            <w:tcW w:w="2520" w:type="dxa"/>
            <w:gridSpan w:val="2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Период действия</w:t>
            </w:r>
          </w:p>
        </w:tc>
        <w:tc>
          <w:tcPr>
            <w:tcW w:w="2059" w:type="dxa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дней</w:t>
            </w:r>
          </w:p>
        </w:tc>
        <w:tc>
          <w:tcPr>
            <w:tcW w:w="2981" w:type="dxa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</w:t>
            </w:r>
          </w:p>
        </w:tc>
      </w:tr>
      <w:tr>
        <w:tc>
          <w:tcPr>
            <w:tcW w:w="1914" w:type="dxa"/>
            <w:gridSpan w:val="2"/>
            <w:vAlign w:val="center"/>
          </w:tcPr>
          <w:p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7,75%</w:t>
            </w:r>
          </w:p>
        </w:tc>
        <w:tc>
          <w:tcPr>
            <w:tcW w:w="2514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01.01.2019-16.06.2019</w:t>
            </w:r>
          </w:p>
        </w:tc>
        <w:tc>
          <w:tcPr>
            <w:tcW w:w="2059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167</w:t>
            </w:r>
          </w:p>
        </w:tc>
        <w:tc>
          <w:tcPr>
            <w:tcW w:w="2981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Информация Банка России от 14.12.2018</w:t>
            </w:r>
          </w:p>
        </w:tc>
      </w:tr>
      <w:tr>
        <w:tc>
          <w:tcPr>
            <w:tcW w:w="1914" w:type="dxa"/>
            <w:gridSpan w:val="2"/>
            <w:vAlign w:val="center"/>
          </w:tcPr>
          <w:p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7,50%</w:t>
            </w:r>
          </w:p>
        </w:tc>
        <w:tc>
          <w:tcPr>
            <w:tcW w:w="2514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17.06.2019-28.07.2019</w:t>
            </w:r>
          </w:p>
        </w:tc>
        <w:tc>
          <w:tcPr>
            <w:tcW w:w="2059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2981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Информация Банка России от 14.06.2019</w:t>
            </w:r>
          </w:p>
        </w:tc>
      </w:tr>
      <w:tr>
        <w:tc>
          <w:tcPr>
            <w:tcW w:w="1914" w:type="dxa"/>
            <w:gridSpan w:val="2"/>
            <w:vAlign w:val="center"/>
          </w:tcPr>
          <w:p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7,25%</w:t>
            </w:r>
          </w:p>
        </w:tc>
        <w:tc>
          <w:tcPr>
            <w:tcW w:w="2514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29.07.2019-08.09.2019</w:t>
            </w:r>
          </w:p>
        </w:tc>
        <w:tc>
          <w:tcPr>
            <w:tcW w:w="2059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2981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Информация Банка России от 26.07.2019</w:t>
            </w:r>
          </w:p>
        </w:tc>
      </w:tr>
      <w:tr>
        <w:tc>
          <w:tcPr>
            <w:tcW w:w="1914" w:type="dxa"/>
            <w:gridSpan w:val="2"/>
            <w:vAlign w:val="center"/>
          </w:tcPr>
          <w:p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7,00%</w:t>
            </w:r>
          </w:p>
        </w:tc>
        <w:tc>
          <w:tcPr>
            <w:tcW w:w="2514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09.09.2019-27.10.2019</w:t>
            </w:r>
          </w:p>
        </w:tc>
        <w:tc>
          <w:tcPr>
            <w:tcW w:w="2059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  <w:tc>
          <w:tcPr>
            <w:tcW w:w="2981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Информация Банка России от 06.09.2019</w:t>
            </w:r>
          </w:p>
        </w:tc>
      </w:tr>
      <w:tr>
        <w:tc>
          <w:tcPr>
            <w:tcW w:w="1914" w:type="dxa"/>
            <w:gridSpan w:val="2"/>
            <w:vAlign w:val="center"/>
          </w:tcPr>
          <w:p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6,50%</w:t>
            </w:r>
          </w:p>
        </w:tc>
        <w:tc>
          <w:tcPr>
            <w:tcW w:w="2514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28.10.2019-15.12.2019</w:t>
            </w:r>
          </w:p>
        </w:tc>
        <w:tc>
          <w:tcPr>
            <w:tcW w:w="2059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  <w:tc>
          <w:tcPr>
            <w:tcW w:w="2981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Информация Банка России от 25.10.2019</w:t>
            </w:r>
          </w:p>
        </w:tc>
      </w:tr>
      <w:tr>
        <w:tc>
          <w:tcPr>
            <w:tcW w:w="1914" w:type="dxa"/>
            <w:gridSpan w:val="2"/>
            <w:vAlign w:val="center"/>
          </w:tcPr>
          <w:p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6,25%</w:t>
            </w:r>
          </w:p>
        </w:tc>
        <w:tc>
          <w:tcPr>
            <w:tcW w:w="2514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16.12.2019-31.12.2019</w:t>
            </w:r>
          </w:p>
        </w:tc>
        <w:tc>
          <w:tcPr>
            <w:tcW w:w="2059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2981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Информация Банка России от 13.12.2019</w:t>
            </w:r>
          </w:p>
        </w:tc>
      </w:tr>
    </w:tbl>
    <w:p>
      <w:pPr>
        <w:ind w:firstLine="708"/>
        <w:jc w:val="both"/>
        <w:rPr>
          <w:sz w:val="24"/>
          <w:szCs w:val="24"/>
        </w:rPr>
      </w:pP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Средневзвешенная ставка:</w:t>
      </w:r>
    </w:p>
    <w:p>
      <w:pPr>
        <w:ind w:left="-142"/>
        <w:jc w:val="both"/>
        <w:rPr>
          <w:sz w:val="24"/>
          <w:szCs w:val="24"/>
        </w:rPr>
      </w:pPr>
      <w:r>
        <w:rPr>
          <w:position w:val="-24"/>
          <w:sz w:val="24"/>
          <w:szCs w:val="24"/>
        </w:rPr>
        <w:object w:dxaOrig="9380" w:dyaOrig="620">
          <v:shape id="_x0000_i1036" type="#_x0000_t75" style="width:438.75pt;height:29pt" o:ole="">
            <v:imagedata r:id="rId42" o:title=""/>
          </v:shape>
          <o:OLEObject Type="Embed" ProgID="Equation.3" ShapeID="_x0000_i1036" DrawAspect="Content" ObjectID="_1648473408" r:id="rId43"/>
        </w:object>
      </w:r>
      <w:r>
        <w:rPr>
          <w:sz w:val="24"/>
          <w:szCs w:val="24"/>
        </w:rPr>
        <w:tab/>
      </w:r>
    </w:p>
    <w:p>
      <w:pPr>
        <w:jc w:val="center"/>
        <w:rPr>
          <w:position w:val="-10"/>
          <w:sz w:val="24"/>
          <w:szCs w:val="24"/>
        </w:rPr>
      </w:pPr>
    </w:p>
    <w:p>
      <w:pPr>
        <w:ind w:firstLine="708"/>
        <w:rPr>
          <w:position w:val="-10"/>
          <w:sz w:val="24"/>
          <w:szCs w:val="24"/>
        </w:rPr>
      </w:pPr>
      <w:r>
        <w:rPr>
          <w:position w:val="-10"/>
          <w:sz w:val="24"/>
          <w:szCs w:val="24"/>
        </w:rPr>
        <w:object w:dxaOrig="3060" w:dyaOrig="320">
          <v:shape id="_x0000_i1037" type="#_x0000_t75" style="width:151.25pt;height:14.5pt" o:ole="">
            <v:imagedata r:id="rId44" o:title=""/>
          </v:shape>
          <o:OLEObject Type="Embed" ProgID="Equation.3" ShapeID="_x0000_i1037" DrawAspect="Content" ObjectID="_1648473409" r:id="rId45"/>
        </w:object>
      </w:r>
    </w:p>
    <w:p>
      <w:pPr>
        <w:spacing w:before="120"/>
        <w:ind w:firstLine="709"/>
        <w:rPr>
          <w:sz w:val="24"/>
          <w:szCs w:val="24"/>
        </w:rPr>
      </w:pPr>
      <w:r>
        <w:rPr>
          <w:sz w:val="24"/>
          <w:szCs w:val="24"/>
        </w:rPr>
        <w:t>По земельному налогу дисконтированная эффективность равна:</w:t>
      </w:r>
    </w:p>
    <w:p>
      <w:pPr>
        <w:ind w:firstLine="708"/>
        <w:rPr>
          <w:sz w:val="24"/>
          <w:szCs w:val="24"/>
        </w:rPr>
      </w:pPr>
      <w:r>
        <w:rPr>
          <w:position w:val="-14"/>
          <w:sz w:val="24"/>
          <w:szCs w:val="24"/>
        </w:rPr>
        <w:object w:dxaOrig="6360" w:dyaOrig="400">
          <v:shape id="_x0000_i1038" type="#_x0000_t75" style="width:352.75pt;height:22.25pt" o:ole="">
            <v:imagedata r:id="rId46" o:title=""/>
          </v:shape>
          <o:OLEObject Type="Embed" ProgID="Equation.3" ShapeID="_x0000_i1038" DrawAspect="Content" ObjectID="_1648473410" r:id="rId47"/>
        </w:object>
      </w:r>
    </w:p>
    <w:p>
      <w:pPr>
        <w:ind w:firstLine="708"/>
        <w:jc w:val="both"/>
        <w:rPr>
          <w:sz w:val="24"/>
          <w:szCs w:val="24"/>
          <w:u w:val="single"/>
        </w:rPr>
      </w:pP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  <w:u w:val="single"/>
        </w:rPr>
        <w:t>Вывод:</w:t>
      </w:r>
      <w:r>
        <w:rPr>
          <w:sz w:val="24"/>
          <w:szCs w:val="24"/>
        </w:rPr>
        <w:t xml:space="preserve"> Согласно п.21 Порядка оценки бюджетной и социальной эффективности льгот по местным налогам, утвержденного Постановлением Главы Администрации ЗАТО Северск от 31.08.2007 №1848, налоговые льготы признаны эффективными. </w:t>
      </w:r>
    </w:p>
    <w:p>
      <w:pPr>
        <w:jc w:val="both"/>
        <w:rPr>
          <w:color w:val="FF0000"/>
          <w:sz w:val="24"/>
          <w:szCs w:val="24"/>
          <w:highlight w:val="yellow"/>
        </w:rPr>
      </w:pPr>
    </w:p>
    <w:p>
      <w:pPr>
        <w:spacing w:line="264" w:lineRule="auto"/>
        <w:ind w:right="55"/>
        <w:rPr>
          <w:i/>
          <w:sz w:val="24"/>
          <w:szCs w:val="24"/>
          <w:highlight w:val="yellow"/>
        </w:rPr>
      </w:pPr>
    </w:p>
    <w:p>
      <w:pPr>
        <w:spacing w:line="264" w:lineRule="auto"/>
        <w:ind w:right="55"/>
        <w:rPr>
          <w:i/>
          <w:sz w:val="24"/>
          <w:szCs w:val="24"/>
          <w:highlight w:val="yellow"/>
        </w:rPr>
      </w:pPr>
    </w:p>
    <w:p>
      <w:pPr>
        <w:spacing w:line="264" w:lineRule="auto"/>
        <w:ind w:right="55"/>
        <w:rPr>
          <w:i/>
          <w:sz w:val="24"/>
          <w:szCs w:val="24"/>
          <w:highlight w:val="yellow"/>
        </w:rPr>
      </w:pPr>
    </w:p>
    <w:p>
      <w:pPr>
        <w:spacing w:line="264" w:lineRule="auto"/>
        <w:ind w:right="55"/>
        <w:rPr>
          <w:i/>
          <w:sz w:val="24"/>
          <w:szCs w:val="24"/>
          <w:highlight w:val="yellow"/>
        </w:rPr>
      </w:pPr>
    </w:p>
    <w:p>
      <w:pPr>
        <w:spacing w:line="264" w:lineRule="auto"/>
        <w:ind w:right="55"/>
        <w:rPr>
          <w:i/>
          <w:sz w:val="24"/>
          <w:szCs w:val="24"/>
          <w:highlight w:val="yellow"/>
        </w:rPr>
      </w:pPr>
    </w:p>
    <w:p>
      <w:pPr>
        <w:spacing w:line="264" w:lineRule="auto"/>
        <w:ind w:right="55"/>
        <w:rPr>
          <w:i/>
          <w:sz w:val="24"/>
          <w:szCs w:val="24"/>
          <w:highlight w:val="yellow"/>
        </w:rPr>
      </w:pPr>
    </w:p>
    <w:p>
      <w:pPr>
        <w:spacing w:line="264" w:lineRule="auto"/>
        <w:ind w:right="55"/>
        <w:rPr>
          <w:i/>
          <w:sz w:val="24"/>
          <w:szCs w:val="24"/>
          <w:highlight w:val="yellow"/>
        </w:rPr>
      </w:pPr>
    </w:p>
    <w:p>
      <w:pPr>
        <w:spacing w:line="264" w:lineRule="auto"/>
        <w:ind w:right="55"/>
        <w:rPr>
          <w:i/>
          <w:sz w:val="24"/>
          <w:szCs w:val="24"/>
          <w:highlight w:val="yellow"/>
        </w:rPr>
      </w:pPr>
    </w:p>
    <w:p>
      <w:pPr>
        <w:spacing w:line="264" w:lineRule="auto"/>
        <w:ind w:right="55"/>
        <w:rPr>
          <w:i/>
          <w:sz w:val="24"/>
          <w:szCs w:val="24"/>
          <w:highlight w:val="yellow"/>
        </w:rPr>
      </w:pPr>
    </w:p>
    <w:p>
      <w:pPr>
        <w:spacing w:line="264" w:lineRule="auto"/>
        <w:ind w:right="55"/>
        <w:rPr>
          <w:i/>
          <w:sz w:val="24"/>
          <w:szCs w:val="24"/>
          <w:highlight w:val="yellow"/>
        </w:rPr>
      </w:pPr>
    </w:p>
    <w:p>
      <w:pPr>
        <w:spacing w:line="264" w:lineRule="auto"/>
        <w:ind w:right="55"/>
        <w:rPr>
          <w:i/>
          <w:sz w:val="24"/>
          <w:szCs w:val="24"/>
          <w:highlight w:val="yellow"/>
        </w:rPr>
      </w:pPr>
    </w:p>
    <w:p>
      <w:pPr>
        <w:spacing w:line="264" w:lineRule="auto"/>
        <w:ind w:right="55"/>
        <w:rPr>
          <w:i/>
          <w:sz w:val="24"/>
          <w:szCs w:val="24"/>
          <w:highlight w:val="yellow"/>
        </w:rPr>
      </w:pPr>
    </w:p>
    <w:p>
      <w:pPr>
        <w:spacing w:line="264" w:lineRule="auto"/>
        <w:ind w:right="55"/>
        <w:rPr>
          <w:i/>
          <w:sz w:val="24"/>
          <w:szCs w:val="24"/>
          <w:highlight w:val="yellow"/>
        </w:rPr>
      </w:pPr>
    </w:p>
    <w:p>
      <w:pPr>
        <w:spacing w:line="264" w:lineRule="auto"/>
        <w:ind w:right="55"/>
        <w:rPr>
          <w:i/>
          <w:sz w:val="24"/>
          <w:szCs w:val="24"/>
          <w:highlight w:val="yellow"/>
        </w:rPr>
      </w:pPr>
    </w:p>
    <w:p>
      <w:pPr>
        <w:spacing w:line="264" w:lineRule="auto"/>
        <w:ind w:right="55"/>
        <w:rPr>
          <w:i/>
          <w:sz w:val="24"/>
          <w:szCs w:val="24"/>
          <w:highlight w:val="yellow"/>
        </w:rPr>
      </w:pPr>
    </w:p>
    <w:p>
      <w:pPr>
        <w:spacing w:line="264" w:lineRule="auto"/>
        <w:ind w:right="55"/>
        <w:rPr>
          <w:i/>
          <w:sz w:val="24"/>
          <w:szCs w:val="24"/>
          <w:highlight w:val="yellow"/>
        </w:rPr>
      </w:pPr>
    </w:p>
    <w:p>
      <w:pPr>
        <w:spacing w:line="264" w:lineRule="auto"/>
        <w:ind w:right="55"/>
        <w:rPr>
          <w:i/>
          <w:sz w:val="24"/>
          <w:szCs w:val="24"/>
        </w:rPr>
      </w:pPr>
    </w:p>
    <w:p>
      <w:pPr>
        <w:spacing w:line="264" w:lineRule="auto"/>
        <w:ind w:right="55"/>
        <w:rPr>
          <w:i/>
          <w:sz w:val="24"/>
          <w:szCs w:val="24"/>
        </w:rPr>
      </w:pPr>
    </w:p>
    <w:p>
      <w:pPr>
        <w:spacing w:line="264" w:lineRule="auto"/>
        <w:ind w:right="55"/>
        <w:rPr>
          <w:sz w:val="22"/>
          <w:szCs w:val="22"/>
        </w:rPr>
      </w:pPr>
      <w:r>
        <w:rPr>
          <w:sz w:val="22"/>
          <w:szCs w:val="22"/>
        </w:rPr>
        <w:t xml:space="preserve">Е.В.Чеснокова </w:t>
      </w:r>
    </w:p>
    <w:p>
      <w:pPr>
        <w:spacing w:line="264" w:lineRule="auto"/>
        <w:ind w:right="55"/>
        <w:rPr>
          <w:i/>
          <w:sz w:val="24"/>
          <w:szCs w:val="24"/>
        </w:rPr>
      </w:pPr>
      <w:r>
        <w:rPr>
          <w:sz w:val="22"/>
          <w:szCs w:val="22"/>
        </w:rPr>
        <w:t>77 23 83</w:t>
      </w:r>
    </w:p>
    <w:sectPr>
      <w:footerReference w:type="even" r:id="rId48"/>
      <w:footerReference w:type="default" r:id="rId49"/>
      <w:footerReference w:type="first" r:id="rId50"/>
      <w:pgSz w:w="11906" w:h="16838"/>
      <w:pgMar w:top="568" w:right="851" w:bottom="426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ad"/>
      <w:framePr w:wrap="around" w:vAnchor="text" w:hAnchor="margin" w:xAlign="right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end"/>
    </w:r>
  </w:p>
  <w:p>
    <w:pPr>
      <w:pStyle w:val="ad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ad"/>
      <w:jc w:val="right"/>
    </w:pPr>
    <w:fldSimple w:instr=" PAGE   \* MERGEFORMAT ">
      <w:r>
        <w:rPr>
          <w:noProof/>
        </w:rPr>
        <w:t>34</w:t>
      </w:r>
    </w:fldSimple>
  </w:p>
  <w:p>
    <w:pPr>
      <w:pStyle w:val="ad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ad"/>
      <w:jc w:val="right"/>
      <w:rPr>
        <w:color w:val="FFFFFF"/>
      </w:rPr>
    </w:pPr>
    <w:r>
      <w:rPr>
        <w:color w:val="FFFFFF"/>
      </w:rPr>
      <w:fldChar w:fldCharType="begin"/>
    </w:r>
    <w:r>
      <w:rPr>
        <w:color w:val="FFFFFF"/>
      </w:rPr>
      <w:instrText xml:space="preserve"> PAGE   \* MERGEFORMAT </w:instrText>
    </w:r>
    <w:r>
      <w:rPr>
        <w:color w:val="FFFFFF"/>
      </w:rPr>
      <w:fldChar w:fldCharType="separate"/>
    </w:r>
    <w:r>
      <w:rPr>
        <w:noProof/>
        <w:color w:val="FFFFFF"/>
      </w:rPr>
      <w:t>1</w:t>
    </w:r>
    <w:r>
      <w:rPr>
        <w:color w:val="FFFFFF"/>
      </w:rPr>
      <w:fldChar w:fldCharType="end"/>
    </w:r>
  </w:p>
  <w:p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00753"/>
    <w:multiLevelType w:val="hybridMultilevel"/>
    <w:tmpl w:val="6040EDE0"/>
    <w:lvl w:ilvl="0" w:tplc="0419000F">
      <w:start w:val="1"/>
      <w:numFmt w:val="decimal"/>
      <w:lvlText w:val="%1."/>
      <w:lvlJc w:val="left"/>
      <w:pPr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>
    <w:nsid w:val="08F715F6"/>
    <w:multiLevelType w:val="hybridMultilevel"/>
    <w:tmpl w:val="600E4C2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0A213B47"/>
    <w:multiLevelType w:val="hybridMultilevel"/>
    <w:tmpl w:val="AEC4143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0A7556C3"/>
    <w:multiLevelType w:val="hybridMultilevel"/>
    <w:tmpl w:val="6B924B9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B0C0F2F"/>
    <w:multiLevelType w:val="hybridMultilevel"/>
    <w:tmpl w:val="45F2B97A"/>
    <w:lvl w:ilvl="0" w:tplc="04190001">
      <w:start w:val="1"/>
      <w:numFmt w:val="bullet"/>
      <w:lvlText w:val=""/>
      <w:lvlJc w:val="left"/>
      <w:pPr>
        <w:ind w:left="1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0" w:hanging="360"/>
      </w:pPr>
      <w:rPr>
        <w:rFonts w:ascii="Wingdings" w:hAnsi="Wingdings" w:hint="default"/>
      </w:rPr>
    </w:lvl>
  </w:abstractNum>
  <w:abstractNum w:abstractNumId="5">
    <w:nsid w:val="0BF60F40"/>
    <w:multiLevelType w:val="hybridMultilevel"/>
    <w:tmpl w:val="936050C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D9239AA"/>
    <w:multiLevelType w:val="multilevel"/>
    <w:tmpl w:val="DBE43A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7">
    <w:nsid w:val="0F932279"/>
    <w:multiLevelType w:val="hybridMultilevel"/>
    <w:tmpl w:val="7A3250AA"/>
    <w:lvl w:ilvl="0" w:tplc="041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A03DAE"/>
    <w:multiLevelType w:val="hybridMultilevel"/>
    <w:tmpl w:val="E46CA11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7572373"/>
    <w:multiLevelType w:val="hybridMultilevel"/>
    <w:tmpl w:val="3D64728A"/>
    <w:lvl w:ilvl="0" w:tplc="04190001">
      <w:start w:val="1"/>
      <w:numFmt w:val="bullet"/>
      <w:lvlText w:val=""/>
      <w:lvlJc w:val="left"/>
      <w:pPr>
        <w:ind w:left="14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6" w:hanging="360"/>
      </w:pPr>
      <w:rPr>
        <w:rFonts w:ascii="Wingdings" w:hAnsi="Wingdings" w:hint="default"/>
      </w:rPr>
    </w:lvl>
  </w:abstractNum>
  <w:abstractNum w:abstractNumId="10">
    <w:nsid w:val="1BDB67F5"/>
    <w:multiLevelType w:val="hybridMultilevel"/>
    <w:tmpl w:val="C73CFDB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48110D5"/>
    <w:multiLevelType w:val="hybridMultilevel"/>
    <w:tmpl w:val="5E462AB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4F040DF"/>
    <w:multiLevelType w:val="hybridMultilevel"/>
    <w:tmpl w:val="6DEA0A14"/>
    <w:lvl w:ilvl="0" w:tplc="AAE804A4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5C942AA"/>
    <w:multiLevelType w:val="hybridMultilevel"/>
    <w:tmpl w:val="A03A709E"/>
    <w:lvl w:ilvl="0" w:tplc="6A98A22A">
      <w:start w:val="1"/>
      <w:numFmt w:val="bullet"/>
      <w:suff w:val="space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>
    <w:nsid w:val="2AA3783A"/>
    <w:multiLevelType w:val="hybridMultilevel"/>
    <w:tmpl w:val="52420FFA"/>
    <w:lvl w:ilvl="0" w:tplc="0419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2D8B79A9"/>
    <w:multiLevelType w:val="hybridMultilevel"/>
    <w:tmpl w:val="2FE6E6A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E292262"/>
    <w:multiLevelType w:val="hybridMultilevel"/>
    <w:tmpl w:val="7DF6C99C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7">
    <w:nsid w:val="2F784FF1"/>
    <w:multiLevelType w:val="hybridMultilevel"/>
    <w:tmpl w:val="50D8DBA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>
    <w:nsid w:val="2FA9327B"/>
    <w:multiLevelType w:val="hybridMultilevel"/>
    <w:tmpl w:val="A9629E00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1B10087"/>
    <w:multiLevelType w:val="hybridMultilevel"/>
    <w:tmpl w:val="B88ECAE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7BC5F4E"/>
    <w:multiLevelType w:val="hybridMultilevel"/>
    <w:tmpl w:val="E2A8DC1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1">
    <w:nsid w:val="390B1233"/>
    <w:multiLevelType w:val="hybridMultilevel"/>
    <w:tmpl w:val="AA98FF8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2">
    <w:nsid w:val="39136032"/>
    <w:multiLevelType w:val="hybridMultilevel"/>
    <w:tmpl w:val="620CDBD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39343643"/>
    <w:multiLevelType w:val="hybridMultilevel"/>
    <w:tmpl w:val="C97293CA"/>
    <w:lvl w:ilvl="0" w:tplc="0419000D">
      <w:start w:val="1"/>
      <w:numFmt w:val="bullet"/>
      <w:lvlText w:val=""/>
      <w:lvlJc w:val="left"/>
      <w:pPr>
        <w:ind w:left="13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4">
    <w:nsid w:val="3A935DA4"/>
    <w:multiLevelType w:val="hybridMultilevel"/>
    <w:tmpl w:val="29DC281E"/>
    <w:lvl w:ilvl="0" w:tplc="04190003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8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5" w:hanging="360"/>
      </w:pPr>
      <w:rPr>
        <w:rFonts w:ascii="Wingdings" w:hAnsi="Wingdings" w:hint="default"/>
      </w:rPr>
    </w:lvl>
  </w:abstractNum>
  <w:abstractNum w:abstractNumId="25">
    <w:nsid w:val="3ADB1BE4"/>
    <w:multiLevelType w:val="hybridMultilevel"/>
    <w:tmpl w:val="3EC217CE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6">
    <w:nsid w:val="3CB82384"/>
    <w:multiLevelType w:val="hybridMultilevel"/>
    <w:tmpl w:val="2BCA698C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7">
    <w:nsid w:val="3F0D1B0B"/>
    <w:multiLevelType w:val="hybridMultilevel"/>
    <w:tmpl w:val="AD68176E"/>
    <w:lvl w:ilvl="0" w:tplc="E564EAA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8">
    <w:nsid w:val="3FDD554C"/>
    <w:multiLevelType w:val="hybridMultilevel"/>
    <w:tmpl w:val="FF3E9EFC"/>
    <w:lvl w:ilvl="0" w:tplc="04190001">
      <w:start w:val="1"/>
      <w:numFmt w:val="bullet"/>
      <w:lvlText w:val=""/>
      <w:lvlJc w:val="left"/>
      <w:pPr>
        <w:ind w:left="14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abstractNum w:abstractNumId="29">
    <w:nsid w:val="453126F1"/>
    <w:multiLevelType w:val="hybridMultilevel"/>
    <w:tmpl w:val="4830B958"/>
    <w:lvl w:ilvl="0" w:tplc="041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0">
    <w:nsid w:val="460905E4"/>
    <w:multiLevelType w:val="hybridMultilevel"/>
    <w:tmpl w:val="62F85A46"/>
    <w:lvl w:ilvl="0" w:tplc="04190001">
      <w:start w:val="1"/>
      <w:numFmt w:val="bullet"/>
      <w:lvlText w:val=""/>
      <w:lvlJc w:val="left"/>
      <w:pPr>
        <w:ind w:left="14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abstractNum w:abstractNumId="31">
    <w:nsid w:val="500E7B3E"/>
    <w:multiLevelType w:val="hybridMultilevel"/>
    <w:tmpl w:val="4D24CA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20603FB"/>
    <w:multiLevelType w:val="hybridMultilevel"/>
    <w:tmpl w:val="109EFF9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5B1042EC"/>
    <w:multiLevelType w:val="hybridMultilevel"/>
    <w:tmpl w:val="12C8FACE"/>
    <w:lvl w:ilvl="0" w:tplc="041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600861C3"/>
    <w:multiLevelType w:val="hybridMultilevel"/>
    <w:tmpl w:val="8D28DAC0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abstractNum w:abstractNumId="35">
    <w:nsid w:val="64DD2CFC"/>
    <w:multiLevelType w:val="hybridMultilevel"/>
    <w:tmpl w:val="002AC75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D297D02"/>
    <w:multiLevelType w:val="hybridMultilevel"/>
    <w:tmpl w:val="D5ACCEA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7">
    <w:nsid w:val="6FAF6D7C"/>
    <w:multiLevelType w:val="hybridMultilevel"/>
    <w:tmpl w:val="030AF310"/>
    <w:lvl w:ilvl="0" w:tplc="04190001">
      <w:start w:val="1"/>
      <w:numFmt w:val="bullet"/>
      <w:lvlText w:val=""/>
      <w:lvlJc w:val="left"/>
      <w:pPr>
        <w:ind w:left="14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abstractNum w:abstractNumId="38">
    <w:nsid w:val="70CD4944"/>
    <w:multiLevelType w:val="hybridMultilevel"/>
    <w:tmpl w:val="2BFA937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>
    <w:nsid w:val="79383104"/>
    <w:multiLevelType w:val="hybridMultilevel"/>
    <w:tmpl w:val="91666EB6"/>
    <w:lvl w:ilvl="0" w:tplc="041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>
    <w:nsid w:val="7BC46F0A"/>
    <w:multiLevelType w:val="hybridMultilevel"/>
    <w:tmpl w:val="231AF66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6"/>
  </w:num>
  <w:num w:numId="2">
    <w:abstractNumId w:val="14"/>
  </w:num>
  <w:num w:numId="3">
    <w:abstractNumId w:val="7"/>
  </w:num>
  <w:num w:numId="4">
    <w:abstractNumId w:val="34"/>
  </w:num>
  <w:num w:numId="5">
    <w:abstractNumId w:val="28"/>
  </w:num>
  <w:num w:numId="6">
    <w:abstractNumId w:val="12"/>
  </w:num>
  <w:num w:numId="7">
    <w:abstractNumId w:val="38"/>
  </w:num>
  <w:num w:numId="8">
    <w:abstractNumId w:val="22"/>
  </w:num>
  <w:num w:numId="9">
    <w:abstractNumId w:val="2"/>
  </w:num>
  <w:num w:numId="10">
    <w:abstractNumId w:val="30"/>
  </w:num>
  <w:num w:numId="11">
    <w:abstractNumId w:val="37"/>
  </w:num>
  <w:num w:numId="12">
    <w:abstractNumId w:val="27"/>
  </w:num>
  <w:num w:numId="13">
    <w:abstractNumId w:val="26"/>
  </w:num>
  <w:num w:numId="14">
    <w:abstractNumId w:val="35"/>
  </w:num>
  <w:num w:numId="15">
    <w:abstractNumId w:val="15"/>
  </w:num>
  <w:num w:numId="16">
    <w:abstractNumId w:val="9"/>
  </w:num>
  <w:num w:numId="17">
    <w:abstractNumId w:val="29"/>
  </w:num>
  <w:num w:numId="18">
    <w:abstractNumId w:val="8"/>
  </w:num>
  <w:num w:numId="19">
    <w:abstractNumId w:val="13"/>
  </w:num>
  <w:num w:numId="20">
    <w:abstractNumId w:val="5"/>
  </w:num>
  <w:num w:numId="21">
    <w:abstractNumId w:val="25"/>
  </w:num>
  <w:num w:numId="22">
    <w:abstractNumId w:val="23"/>
  </w:num>
  <w:num w:numId="23">
    <w:abstractNumId w:val="10"/>
  </w:num>
  <w:num w:numId="24">
    <w:abstractNumId w:val="11"/>
  </w:num>
  <w:num w:numId="25">
    <w:abstractNumId w:val="0"/>
  </w:num>
  <w:num w:numId="26">
    <w:abstractNumId w:val="40"/>
  </w:num>
  <w:num w:numId="27">
    <w:abstractNumId w:val="20"/>
  </w:num>
  <w:num w:numId="28">
    <w:abstractNumId w:val="36"/>
  </w:num>
  <w:num w:numId="29">
    <w:abstractNumId w:val="24"/>
  </w:num>
  <w:num w:numId="30">
    <w:abstractNumId w:val="18"/>
  </w:num>
  <w:num w:numId="31">
    <w:abstractNumId w:val="4"/>
  </w:num>
  <w:num w:numId="32">
    <w:abstractNumId w:val="31"/>
  </w:num>
  <w:num w:numId="33">
    <w:abstractNumId w:val="21"/>
  </w:num>
  <w:num w:numId="34">
    <w:abstractNumId w:val="19"/>
  </w:num>
  <w:num w:numId="35">
    <w:abstractNumId w:val="39"/>
  </w:num>
  <w:num w:numId="36">
    <w:abstractNumId w:val="33"/>
  </w:num>
  <w:num w:numId="37">
    <w:abstractNumId w:val="17"/>
  </w:num>
  <w:num w:numId="38">
    <w:abstractNumId w:val="1"/>
  </w:num>
  <w:num w:numId="39">
    <w:abstractNumId w:val="32"/>
  </w:num>
  <w:num w:numId="40">
    <w:abstractNumId w:val="3"/>
  </w:num>
  <w:num w:numId="41">
    <w:abstractNumId w:val="6"/>
  </w:num>
  <w:numIdMacAtCleanup w:val="2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hdrShapeDefaults>
    <o:shapedefaults v:ext="edit" spidmax="728065"/>
  </w:hdrShapeDefaults>
  <w:footnotePr>
    <w:footnote w:id="-1"/>
    <w:footnote w:id="0"/>
  </w:footnotePr>
  <w:endnotePr>
    <w:endnote w:id="-1"/>
    <w:endnote w:id="0"/>
  </w:endnotePr>
  <w:compat/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martTagType w:namespaceuri="urn:schemas-microsoft-com:office:smarttags" w:name="place"/>
  <w:shapeDefaults>
    <o:shapedefaults v:ext="edit" spidmax="7280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b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</w:rPr>
  </w:style>
  <w:style w:type="paragraph" w:styleId="3">
    <w:name w:val="heading 3"/>
    <w:basedOn w:val="a"/>
    <w:next w:val="a"/>
    <w:link w:val="30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tabs>
        <w:tab w:val="left" w:pos="5529"/>
      </w:tabs>
      <w:ind w:right="-87" w:firstLine="993"/>
      <w:jc w:val="both"/>
      <w:outlineLvl w:val="3"/>
    </w:pPr>
    <w:rPr>
      <w:sz w:val="24"/>
    </w:rPr>
  </w:style>
  <w:style w:type="paragraph" w:styleId="5">
    <w:name w:val="heading 5"/>
    <w:basedOn w:val="a"/>
    <w:next w:val="a"/>
    <w:qFormat/>
    <w:pPr>
      <w:keepNext/>
      <w:outlineLvl w:val="4"/>
    </w:pPr>
    <w:rPr>
      <w:sz w:val="24"/>
    </w:rPr>
  </w:style>
  <w:style w:type="paragraph" w:styleId="6">
    <w:name w:val="heading 6"/>
    <w:basedOn w:val="a"/>
    <w:next w:val="a"/>
    <w:qFormat/>
    <w:pPr>
      <w:keepNext/>
      <w:tabs>
        <w:tab w:val="left" w:pos="5529"/>
      </w:tabs>
      <w:outlineLvl w:val="5"/>
    </w:pPr>
    <w:rPr>
      <w:b/>
      <w:sz w:val="28"/>
    </w:rPr>
  </w:style>
  <w:style w:type="paragraph" w:styleId="7">
    <w:name w:val="heading 7"/>
    <w:basedOn w:val="a"/>
    <w:next w:val="a"/>
    <w:qFormat/>
    <w:pPr>
      <w:keepNext/>
      <w:jc w:val="both"/>
      <w:outlineLvl w:val="6"/>
    </w:pPr>
    <w:rPr>
      <w:sz w:val="24"/>
    </w:rPr>
  </w:style>
  <w:style w:type="paragraph" w:styleId="8">
    <w:name w:val="heading 8"/>
    <w:basedOn w:val="a"/>
    <w:next w:val="a"/>
    <w:qFormat/>
    <w:pPr>
      <w:keepNext/>
      <w:ind w:firstLine="708"/>
      <w:jc w:val="both"/>
      <w:outlineLvl w:val="7"/>
    </w:pPr>
    <w:rPr>
      <w:sz w:val="24"/>
      <w:szCs w:val="24"/>
    </w:rPr>
  </w:style>
  <w:style w:type="paragraph" w:styleId="9">
    <w:name w:val="heading 9"/>
    <w:basedOn w:val="a"/>
    <w:next w:val="a"/>
    <w:qFormat/>
    <w:pPr>
      <w:keepNext/>
      <w:jc w:val="both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Pr>
      <w:b/>
    </w:rPr>
  </w:style>
  <w:style w:type="character" w:customStyle="1" w:styleId="30">
    <w:name w:val="Заголовок 3 Знак"/>
    <w:basedOn w:val="a0"/>
    <w:link w:val="3"/>
    <w:rPr>
      <w:rFonts w:ascii="Arial" w:hAnsi="Arial" w:cs="Arial"/>
      <w:b/>
      <w:bCs/>
      <w:sz w:val="26"/>
      <w:szCs w:val="26"/>
    </w:rPr>
  </w:style>
  <w:style w:type="paragraph" w:customStyle="1" w:styleId="a3">
    <w:name w:val="Знак Знак"/>
    <w:basedOn w:val="a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styleId="20">
    <w:name w:val="Body Text 2"/>
    <w:basedOn w:val="a"/>
    <w:link w:val="21"/>
    <w:pPr>
      <w:ind w:right="43"/>
      <w:jc w:val="both"/>
    </w:pPr>
    <w:rPr>
      <w:sz w:val="24"/>
    </w:rPr>
  </w:style>
  <w:style w:type="character" w:customStyle="1" w:styleId="21">
    <w:name w:val="Основной текст 2 Знак"/>
    <w:basedOn w:val="a0"/>
    <w:link w:val="20"/>
    <w:rPr>
      <w:sz w:val="24"/>
    </w:rPr>
  </w:style>
  <w:style w:type="paragraph" w:styleId="31">
    <w:name w:val="Body Text 3"/>
    <w:basedOn w:val="a"/>
    <w:link w:val="32"/>
    <w:pPr>
      <w:tabs>
        <w:tab w:val="left" w:pos="5529"/>
      </w:tabs>
      <w:ind w:right="-1050"/>
      <w:jc w:val="both"/>
    </w:pPr>
    <w:rPr>
      <w:sz w:val="28"/>
    </w:rPr>
  </w:style>
  <w:style w:type="character" w:customStyle="1" w:styleId="32">
    <w:name w:val="Основной текст 3 Знак"/>
    <w:link w:val="31"/>
    <w:rPr>
      <w:sz w:val="28"/>
      <w:lang w:val="ru-RU" w:eastAsia="ru-RU" w:bidi="ar-SA"/>
    </w:rPr>
  </w:style>
  <w:style w:type="paragraph" w:styleId="a4">
    <w:name w:val="Title"/>
    <w:basedOn w:val="a"/>
    <w:qFormat/>
    <w:pPr>
      <w:jc w:val="center"/>
    </w:pPr>
    <w:rPr>
      <w:b/>
      <w:sz w:val="28"/>
    </w:rPr>
  </w:style>
  <w:style w:type="paragraph" w:styleId="a5">
    <w:name w:val="Body Text"/>
    <w:basedOn w:val="a"/>
    <w:link w:val="a6"/>
    <w:pPr>
      <w:spacing w:after="120"/>
    </w:pPr>
  </w:style>
  <w:style w:type="character" w:customStyle="1" w:styleId="a6">
    <w:name w:val="Основной текст Знак"/>
    <w:basedOn w:val="a0"/>
    <w:link w:val="a5"/>
  </w:style>
  <w:style w:type="paragraph" w:customStyle="1" w:styleId="11">
    <w:name w:val="Знак Знак1"/>
    <w:basedOn w:val="a"/>
    <w:pPr>
      <w:spacing w:after="160" w:line="240" w:lineRule="exact"/>
    </w:pPr>
    <w:rPr>
      <w:rFonts w:ascii="Verdana" w:hAnsi="Verdana"/>
      <w:lang w:val="en-US" w:eastAsia="en-US"/>
    </w:rPr>
  </w:style>
  <w:style w:type="paragraph" w:styleId="a7">
    <w:name w:val="Block Text"/>
    <w:basedOn w:val="a"/>
    <w:pPr>
      <w:ind w:left="720" w:right="43"/>
      <w:jc w:val="center"/>
    </w:pPr>
    <w:rPr>
      <w:sz w:val="24"/>
    </w:rPr>
  </w:style>
  <w:style w:type="paragraph" w:styleId="a8">
    <w:name w:val="Body Text Indent"/>
    <w:basedOn w:val="a"/>
    <w:link w:val="a9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</w:style>
  <w:style w:type="paragraph" w:customStyle="1" w:styleId="aa">
    <w:name w:val="Знак Знак Знак Знак Знак Знак"/>
    <w:basedOn w:val="a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styleId="22">
    <w:name w:val="Body Text Indent 2"/>
    <w:basedOn w:val="a"/>
    <w:link w:val="23"/>
    <w:pPr>
      <w:ind w:right="43" w:firstLine="720"/>
      <w:jc w:val="both"/>
    </w:pPr>
    <w:rPr>
      <w:sz w:val="24"/>
    </w:rPr>
  </w:style>
  <w:style w:type="paragraph" w:styleId="33">
    <w:name w:val="Body Text Indent 3"/>
    <w:basedOn w:val="a"/>
    <w:link w:val="34"/>
    <w:pPr>
      <w:ind w:firstLine="720"/>
      <w:jc w:val="both"/>
    </w:pPr>
    <w:rPr>
      <w:sz w:val="28"/>
    </w:rPr>
  </w:style>
  <w:style w:type="character" w:customStyle="1" w:styleId="34">
    <w:name w:val="Основной текст с отступом 3 Знак"/>
    <w:basedOn w:val="a0"/>
    <w:link w:val="33"/>
    <w:rPr>
      <w:sz w:val="28"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</w:p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basedOn w:val="a0"/>
    <w:link w:val="ad"/>
    <w:uiPriority w:val="99"/>
  </w:style>
  <w:style w:type="character" w:styleId="af">
    <w:name w:val="page number"/>
    <w:basedOn w:val="a0"/>
  </w:style>
  <w:style w:type="paragraph" w:styleId="af0">
    <w:name w:val="Plain Text"/>
    <w:basedOn w:val="a"/>
    <w:rPr>
      <w:rFonts w:ascii="Courier New" w:hAnsi="Courier New" w:cs="Courier New"/>
    </w:rPr>
  </w:style>
  <w:style w:type="character" w:styleId="af1">
    <w:name w:val="Hyperlink"/>
    <w:rPr>
      <w:color w:val="0000FF"/>
      <w:u w:val="single"/>
    </w:rPr>
  </w:style>
  <w:style w:type="paragraph" w:customStyle="1" w:styleId="12">
    <w:name w:val="Обычный1"/>
    <w:pPr>
      <w:widowControl w:val="0"/>
      <w:snapToGrid w:val="0"/>
    </w:pPr>
    <w:rPr>
      <w:sz w:val="28"/>
    </w:rPr>
  </w:style>
  <w:style w:type="character" w:customStyle="1" w:styleId="af2">
    <w:name w:val="Знак"/>
    <w:basedOn w:val="a0"/>
  </w:style>
  <w:style w:type="paragraph" w:customStyle="1" w:styleId="af3">
    <w:name w:val="Знак Знак Знак Знак"/>
    <w:basedOn w:val="a"/>
    <w:rPr>
      <w:rFonts w:ascii="Verdana" w:hAnsi="Verdana" w:cs="Verdana"/>
      <w:lang w:val="en-US" w:eastAsia="en-US"/>
    </w:rPr>
  </w:style>
  <w:style w:type="paragraph" w:customStyle="1" w:styleId="13">
    <w:name w:val="Знак Знак1 Знак Знак Знак Знак Знак Знак Знак Знак Знак Знак"/>
    <w:basedOn w:val="a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f4">
    <w:name w:val="Знак Знак Знак Знак Знак Знак Знак Знак"/>
    <w:basedOn w:val="a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14">
    <w:name w:val="Знак Знак Знак Знак Знак Знак1 Знак Знак Знак Знак Знак Знак Знак Знак Знак Знак"/>
    <w:basedOn w:val="a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character" w:customStyle="1" w:styleId="af5">
    <w:name w:val="Знак Знак"/>
    <w:rPr>
      <w:sz w:val="28"/>
      <w:lang w:val="ru-RU" w:eastAsia="ru-RU" w:bidi="ar-SA"/>
    </w:rPr>
  </w:style>
  <w:style w:type="paragraph" w:customStyle="1" w:styleId="ConsPlusCell">
    <w:name w:val="ConsPlusCell"/>
    <w:pPr>
      <w:autoSpaceDE w:val="0"/>
      <w:autoSpaceDN w:val="0"/>
      <w:adjustRightInd w:val="0"/>
    </w:pPr>
  </w:style>
  <w:style w:type="paragraph" w:styleId="af6">
    <w:name w:val="Balloon Text"/>
    <w:basedOn w:val="a"/>
    <w:semiHidden/>
    <w:rPr>
      <w:rFonts w:ascii="Tahoma" w:hAnsi="Tahoma" w:cs="Tahoma"/>
      <w:sz w:val="16"/>
      <w:szCs w:val="16"/>
    </w:rPr>
  </w:style>
  <w:style w:type="paragraph" w:customStyle="1" w:styleId="24">
    <w:name w:val="Знак2"/>
    <w:basedOn w:val="a"/>
    <w:rPr>
      <w:rFonts w:ascii="Verdana" w:hAnsi="Verdana" w:cs="Verdana"/>
      <w:lang w:val="en-US" w:eastAsia="en-US"/>
    </w:rPr>
  </w:style>
  <w:style w:type="table" w:styleId="af7">
    <w:name w:val="Table Grid"/>
    <w:basedOn w:val="a1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0">
    <w:name w:val="Основной текст с отступом 21"/>
    <w:basedOn w:val="a"/>
    <w:uiPriority w:val="99"/>
    <w:pPr>
      <w:suppressAutoHyphens/>
      <w:ind w:firstLine="360"/>
      <w:jc w:val="both"/>
    </w:pPr>
    <w:rPr>
      <w:sz w:val="24"/>
      <w:lang w:eastAsia="ar-SA"/>
    </w:r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customStyle="1" w:styleId="15">
    <w:name w:val="Знак Знак Знак Знак Знак Знак Знак1"/>
    <w:basedOn w:val="a"/>
    <w:autoRedefine/>
    <w:pPr>
      <w:spacing w:after="160" w:line="240" w:lineRule="exact"/>
      <w:ind w:left="540"/>
    </w:pPr>
    <w:rPr>
      <w:rFonts w:eastAsia="SimSun"/>
      <w:b/>
      <w:sz w:val="32"/>
      <w:szCs w:val="32"/>
      <w:lang w:eastAsia="en-US"/>
    </w:rPr>
  </w:style>
  <w:style w:type="character" w:customStyle="1" w:styleId="25">
    <w:name w:val="Основной текст (2)_"/>
    <w:basedOn w:val="a0"/>
    <w:link w:val="26"/>
    <w:rPr>
      <w:b/>
      <w:bCs/>
      <w:spacing w:val="6"/>
      <w:sz w:val="13"/>
      <w:szCs w:val="13"/>
      <w:shd w:val="clear" w:color="auto" w:fill="FFFFFF"/>
    </w:rPr>
  </w:style>
  <w:style w:type="paragraph" w:customStyle="1" w:styleId="26">
    <w:name w:val="Основной текст (2)"/>
    <w:basedOn w:val="a"/>
    <w:link w:val="25"/>
    <w:pPr>
      <w:widowControl w:val="0"/>
      <w:shd w:val="clear" w:color="auto" w:fill="FFFFFF"/>
      <w:spacing w:line="178" w:lineRule="exact"/>
      <w:ind w:hanging="1160"/>
    </w:pPr>
    <w:rPr>
      <w:b/>
      <w:bCs/>
      <w:spacing w:val="6"/>
      <w:sz w:val="13"/>
      <w:szCs w:val="13"/>
    </w:rPr>
  </w:style>
  <w:style w:type="character" w:customStyle="1" w:styleId="af9">
    <w:name w:val="Основной текст_"/>
    <w:basedOn w:val="a0"/>
    <w:link w:val="27"/>
    <w:rPr>
      <w:spacing w:val="2"/>
      <w:sz w:val="14"/>
      <w:szCs w:val="14"/>
      <w:shd w:val="clear" w:color="auto" w:fill="FFFFFF"/>
    </w:rPr>
  </w:style>
  <w:style w:type="paragraph" w:customStyle="1" w:styleId="27">
    <w:name w:val="Основной текст2"/>
    <w:basedOn w:val="a"/>
    <w:link w:val="af9"/>
    <w:pPr>
      <w:widowControl w:val="0"/>
      <w:shd w:val="clear" w:color="auto" w:fill="FFFFFF"/>
      <w:spacing w:line="182" w:lineRule="exact"/>
      <w:ind w:firstLine="480"/>
      <w:jc w:val="both"/>
    </w:pPr>
    <w:rPr>
      <w:spacing w:val="2"/>
      <w:sz w:val="14"/>
      <w:szCs w:val="14"/>
    </w:rPr>
  </w:style>
  <w:style w:type="character" w:customStyle="1" w:styleId="16">
    <w:name w:val="Основной текст1"/>
    <w:basedOn w:val="af9"/>
    <w:rPr>
      <w:color w:val="000000"/>
      <w:spacing w:val="2"/>
      <w:w w:val="100"/>
      <w:position w:val="0"/>
      <w:sz w:val="14"/>
      <w:szCs w:val="14"/>
      <w:u w:val="single"/>
      <w:shd w:val="clear" w:color="auto" w:fill="FFFFFF"/>
      <w:lang w:val="ru-RU"/>
    </w:rPr>
  </w:style>
  <w:style w:type="character" w:customStyle="1" w:styleId="afa">
    <w:name w:val="Подпись к таблице_"/>
    <w:basedOn w:val="a0"/>
    <w:link w:val="afb"/>
    <w:rPr>
      <w:spacing w:val="2"/>
      <w:sz w:val="14"/>
      <w:szCs w:val="14"/>
      <w:shd w:val="clear" w:color="auto" w:fill="FFFFFF"/>
    </w:rPr>
  </w:style>
  <w:style w:type="paragraph" w:customStyle="1" w:styleId="afb">
    <w:name w:val="Подпись к таблице"/>
    <w:basedOn w:val="a"/>
    <w:link w:val="afa"/>
    <w:pPr>
      <w:widowControl w:val="0"/>
      <w:shd w:val="clear" w:color="auto" w:fill="FFFFFF"/>
      <w:spacing w:line="0" w:lineRule="atLeast"/>
    </w:pPr>
    <w:rPr>
      <w:spacing w:val="2"/>
      <w:sz w:val="14"/>
      <w:szCs w:val="14"/>
    </w:rPr>
  </w:style>
  <w:style w:type="character" w:customStyle="1" w:styleId="55pt">
    <w:name w:val="Основной текст + 5;5 pt"/>
    <w:basedOn w:val="a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"/>
      <w:w w:val="100"/>
      <w:position w:val="0"/>
      <w:sz w:val="11"/>
      <w:szCs w:val="11"/>
      <w:u w:val="none"/>
      <w:shd w:val="clear" w:color="auto" w:fill="FFFFFF"/>
      <w:lang w:val="ru-RU"/>
    </w:rPr>
  </w:style>
  <w:style w:type="character" w:customStyle="1" w:styleId="28">
    <w:name w:val="Подпись к таблице (2)_"/>
    <w:basedOn w:val="a0"/>
    <w:link w:val="29"/>
    <w:rPr>
      <w:sz w:val="15"/>
      <w:szCs w:val="15"/>
      <w:shd w:val="clear" w:color="auto" w:fill="FFFFFF"/>
    </w:rPr>
  </w:style>
  <w:style w:type="paragraph" w:customStyle="1" w:styleId="29">
    <w:name w:val="Подпись к таблице (2)"/>
    <w:basedOn w:val="a"/>
    <w:link w:val="28"/>
    <w:pPr>
      <w:widowControl w:val="0"/>
      <w:shd w:val="clear" w:color="auto" w:fill="FFFFFF"/>
      <w:spacing w:line="0" w:lineRule="atLeast"/>
    </w:pPr>
    <w:rPr>
      <w:sz w:val="15"/>
      <w:szCs w:val="15"/>
    </w:rPr>
  </w:style>
  <w:style w:type="character" w:customStyle="1" w:styleId="55pt0pt">
    <w:name w:val="Основной текст + 5;5 pt;Интервал 0 pt"/>
    <w:basedOn w:val="a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11"/>
      <w:szCs w:val="11"/>
      <w:u w:val="none"/>
      <w:shd w:val="clear" w:color="auto" w:fill="FFFFFF"/>
      <w:lang w:val="ru-RU"/>
    </w:rPr>
  </w:style>
  <w:style w:type="character" w:customStyle="1" w:styleId="0pt">
    <w:name w:val="Основной текст + Интервал 0 pt"/>
    <w:basedOn w:val="a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14"/>
      <w:szCs w:val="14"/>
      <w:u w:val="none"/>
      <w:shd w:val="clear" w:color="auto" w:fill="FFFFFF"/>
      <w:lang w:val="ru-RU"/>
    </w:rPr>
  </w:style>
  <w:style w:type="character" w:customStyle="1" w:styleId="65pt0pt">
    <w:name w:val="Основной текст + 6;5 pt;Полужирный;Интервал 0 pt"/>
    <w:basedOn w:val="a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shd w:val="clear" w:color="auto" w:fill="FFFFFF"/>
      <w:lang w:val="ru-RU"/>
    </w:rPr>
  </w:style>
  <w:style w:type="character" w:customStyle="1" w:styleId="0pt0">
    <w:name w:val="Подпись к таблице + Интервал 0 pt"/>
    <w:basedOn w:val="a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14"/>
      <w:szCs w:val="14"/>
      <w:u w:val="none"/>
      <w:shd w:val="clear" w:color="auto" w:fill="FFFFFF"/>
      <w:lang w:val="ru-RU"/>
    </w:rPr>
  </w:style>
  <w:style w:type="paragraph" w:customStyle="1" w:styleId="ConsPlusNormal">
    <w:name w:val="ConsPlusNormal"/>
    <w:link w:val="ConsPlusNormal0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Pr>
      <w:sz w:val="24"/>
      <w:szCs w:val="24"/>
    </w:rPr>
  </w:style>
  <w:style w:type="paragraph" w:styleId="afc">
    <w:name w:val="Normal (Web)"/>
    <w:basedOn w:val="a"/>
    <w:uiPriority w:val="99"/>
    <w:unhideWhenUsed/>
    <w:pPr>
      <w:spacing w:before="100" w:beforeAutospacing="1" w:after="100" w:afterAutospacing="1"/>
    </w:pPr>
    <w:rPr>
      <w:sz w:val="24"/>
      <w:szCs w:val="24"/>
    </w:rPr>
  </w:style>
  <w:style w:type="paragraph" w:customStyle="1" w:styleId="211">
    <w:name w:val="Основной текст 21"/>
    <w:basedOn w:val="a"/>
    <w:pPr>
      <w:widowControl w:val="0"/>
      <w:spacing w:line="360" w:lineRule="auto"/>
      <w:ind w:firstLine="709"/>
      <w:jc w:val="both"/>
    </w:pPr>
    <w:rPr>
      <w:snapToGrid w:val="0"/>
      <w:sz w:val="26"/>
    </w:rPr>
  </w:style>
  <w:style w:type="paragraph" w:customStyle="1" w:styleId="ConsPlusNonformat">
    <w:name w:val="ConsPlusNonformat"/>
    <w:uiPriority w:val="99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7">
    <w:name w:val="Знак1"/>
    <w:basedOn w:val="a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afd">
    <w:name w:val="Знак Знак Знак Знак Знак Знак Знак"/>
    <w:basedOn w:val="a"/>
    <w:rPr>
      <w:rFonts w:ascii="Verdana" w:hAnsi="Verdana" w:cs="Verdana"/>
      <w:lang w:val="en-US" w:eastAsia="en-US"/>
    </w:rPr>
  </w:style>
  <w:style w:type="paragraph" w:styleId="HTML">
    <w:name w:val="HTML Preformatted"/>
    <w:basedOn w:val="a"/>
    <w:link w:val="HTML0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semiHidden/>
    <w:rPr>
      <w:rFonts w:ascii="Courier New" w:hAnsi="Courier New" w:cs="Courier New"/>
    </w:rPr>
  </w:style>
  <w:style w:type="paragraph" w:styleId="afe">
    <w:name w:val="annotation text"/>
    <w:basedOn w:val="a"/>
    <w:link w:val="aff"/>
    <w:semiHidden/>
    <w:unhideWhenUsed/>
  </w:style>
  <w:style w:type="character" w:customStyle="1" w:styleId="aff">
    <w:name w:val="Текст примечания Знак"/>
    <w:basedOn w:val="a0"/>
    <w:link w:val="afe"/>
    <w:semiHidden/>
  </w:style>
  <w:style w:type="paragraph" w:styleId="aff0">
    <w:name w:val="annotation subject"/>
    <w:basedOn w:val="afe"/>
    <w:next w:val="afe"/>
    <w:link w:val="aff1"/>
    <w:semiHidden/>
    <w:unhideWhenUsed/>
    <w:rPr>
      <w:b/>
      <w:bCs/>
    </w:rPr>
  </w:style>
  <w:style w:type="character" w:customStyle="1" w:styleId="aff1">
    <w:name w:val="Тема примечания Знак"/>
    <w:basedOn w:val="aff"/>
    <w:link w:val="aff0"/>
    <w:semiHidden/>
    <w:rPr>
      <w:b/>
      <w:bCs/>
    </w:rPr>
  </w:style>
  <w:style w:type="character" w:customStyle="1" w:styleId="wmi-callto">
    <w:name w:val="wmi-callto"/>
    <w:basedOn w:val="a0"/>
  </w:style>
  <w:style w:type="character" w:customStyle="1" w:styleId="23">
    <w:name w:val="Основной текст с отступом 2 Знак"/>
    <w:link w:val="22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6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0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0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0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2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7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8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9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4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6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1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2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0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2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2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8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1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6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1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9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8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7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5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2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17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1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1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hart" Target="charts/chart6.xml"/><Relationship Id="rId18" Type="http://schemas.openxmlformats.org/officeDocument/2006/relationships/chart" Target="charts/chart11.xml"/><Relationship Id="rId26" Type="http://schemas.openxmlformats.org/officeDocument/2006/relationships/image" Target="media/image4.wmf"/><Relationship Id="rId39" Type="http://schemas.openxmlformats.org/officeDocument/2006/relationships/oleObject" Target="embeddings/oleObject10.bin"/><Relationship Id="rId3" Type="http://schemas.openxmlformats.org/officeDocument/2006/relationships/styles" Target="styles.xml"/><Relationship Id="rId21" Type="http://schemas.openxmlformats.org/officeDocument/2006/relationships/oleObject" Target="embeddings/oleObject1.bin"/><Relationship Id="rId34" Type="http://schemas.openxmlformats.org/officeDocument/2006/relationships/image" Target="media/image8.wmf"/><Relationship Id="rId42" Type="http://schemas.openxmlformats.org/officeDocument/2006/relationships/image" Target="media/image12.wmf"/><Relationship Id="rId47" Type="http://schemas.openxmlformats.org/officeDocument/2006/relationships/oleObject" Target="embeddings/oleObject14.bin"/><Relationship Id="rId50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chart" Target="charts/chart5.xml"/><Relationship Id="rId17" Type="http://schemas.openxmlformats.org/officeDocument/2006/relationships/chart" Target="charts/chart10.xml"/><Relationship Id="rId25" Type="http://schemas.openxmlformats.org/officeDocument/2006/relationships/oleObject" Target="embeddings/oleObject3.bin"/><Relationship Id="rId33" Type="http://schemas.openxmlformats.org/officeDocument/2006/relationships/oleObject" Target="embeddings/oleObject7.bin"/><Relationship Id="rId38" Type="http://schemas.openxmlformats.org/officeDocument/2006/relationships/image" Target="media/image10.wmf"/><Relationship Id="rId46" Type="http://schemas.openxmlformats.org/officeDocument/2006/relationships/image" Target="media/image14.wmf"/><Relationship Id="rId2" Type="http://schemas.openxmlformats.org/officeDocument/2006/relationships/numbering" Target="numbering.xml"/><Relationship Id="rId16" Type="http://schemas.openxmlformats.org/officeDocument/2006/relationships/chart" Target="charts/chart9.xml"/><Relationship Id="rId20" Type="http://schemas.openxmlformats.org/officeDocument/2006/relationships/image" Target="media/image1.wmf"/><Relationship Id="rId29" Type="http://schemas.openxmlformats.org/officeDocument/2006/relationships/oleObject" Target="embeddings/oleObject5.bin"/><Relationship Id="rId41" Type="http://schemas.openxmlformats.org/officeDocument/2006/relationships/oleObject" Target="embeddings/oleObject11.bin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24" Type="http://schemas.openxmlformats.org/officeDocument/2006/relationships/image" Target="media/image3.wmf"/><Relationship Id="rId32" Type="http://schemas.openxmlformats.org/officeDocument/2006/relationships/image" Target="media/image7.wmf"/><Relationship Id="rId37" Type="http://schemas.openxmlformats.org/officeDocument/2006/relationships/oleObject" Target="embeddings/oleObject9.bin"/><Relationship Id="rId40" Type="http://schemas.openxmlformats.org/officeDocument/2006/relationships/image" Target="media/image11.wmf"/><Relationship Id="rId45" Type="http://schemas.openxmlformats.org/officeDocument/2006/relationships/oleObject" Target="embeddings/oleObject13.bin"/><Relationship Id="rId5" Type="http://schemas.openxmlformats.org/officeDocument/2006/relationships/webSettings" Target="webSettings.xml"/><Relationship Id="rId15" Type="http://schemas.openxmlformats.org/officeDocument/2006/relationships/chart" Target="charts/chart8.xml"/><Relationship Id="rId23" Type="http://schemas.openxmlformats.org/officeDocument/2006/relationships/oleObject" Target="embeddings/oleObject2.bin"/><Relationship Id="rId28" Type="http://schemas.openxmlformats.org/officeDocument/2006/relationships/image" Target="media/image5.wmf"/><Relationship Id="rId36" Type="http://schemas.openxmlformats.org/officeDocument/2006/relationships/image" Target="media/image9.wmf"/><Relationship Id="rId49" Type="http://schemas.openxmlformats.org/officeDocument/2006/relationships/footer" Target="footer2.xml"/><Relationship Id="rId10" Type="http://schemas.openxmlformats.org/officeDocument/2006/relationships/chart" Target="charts/chart3.xml"/><Relationship Id="rId19" Type="http://schemas.openxmlformats.org/officeDocument/2006/relationships/chart" Target="charts/chart12.xml"/><Relationship Id="rId31" Type="http://schemas.openxmlformats.org/officeDocument/2006/relationships/oleObject" Target="embeddings/oleObject6.bin"/><Relationship Id="rId44" Type="http://schemas.openxmlformats.org/officeDocument/2006/relationships/image" Target="media/image13.wmf"/><Relationship Id="rId52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chart" Target="charts/chart7.xml"/><Relationship Id="rId22" Type="http://schemas.openxmlformats.org/officeDocument/2006/relationships/image" Target="media/image2.wmf"/><Relationship Id="rId27" Type="http://schemas.openxmlformats.org/officeDocument/2006/relationships/oleObject" Target="embeddings/oleObject4.bin"/><Relationship Id="rId30" Type="http://schemas.openxmlformats.org/officeDocument/2006/relationships/image" Target="media/image6.wmf"/><Relationship Id="rId35" Type="http://schemas.openxmlformats.org/officeDocument/2006/relationships/oleObject" Target="embeddings/oleObject8.bin"/><Relationship Id="rId43" Type="http://schemas.openxmlformats.org/officeDocument/2006/relationships/oleObject" Target="embeddings/oleObject12.bin"/><Relationship Id="rId48" Type="http://schemas.openxmlformats.org/officeDocument/2006/relationships/footer" Target="footer1.xml"/><Relationship Id="rId8" Type="http://schemas.openxmlformats.org/officeDocument/2006/relationships/chart" Target="charts/chart1.xml"/><Relationship Id="rId51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\\server-fin\_money\&#1055;&#1088;&#1086;&#1077;&#1082;&#1090;_2019-2021\&#1054;&#1090;&#1095;&#1077;&#1090;%202019%20&#1075;&#1086;&#1076;\&#1043;&#1056;&#1040;&#1060;&#1048;&#1050;&#1048;-&#1044;&#1048;&#1040;&#1043;&#1056;&#1040;&#1052;&#1052;&#1067;%202019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\\server-fin\_money\&#1055;&#1088;&#1086;&#1077;&#1082;&#1090;_2019-2021\&#1054;&#1090;&#1095;&#1077;&#1090;%202019%20&#1075;&#1086;&#1076;\&#1043;&#1056;&#1040;&#1060;&#1048;&#1050;&#1048;-&#1044;&#1048;&#1040;&#1043;&#1056;&#1040;&#1052;&#1052;&#1067;%202019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\\server-fin\_money\&#1055;&#1088;&#1086;&#1077;&#1082;&#1090;_2019-2021\&#1054;&#1090;&#1095;&#1077;&#1090;%202019%20&#1075;&#1086;&#1076;\&#1043;&#1056;&#1040;&#1060;&#1048;&#1050;&#1048;-&#1044;&#1048;&#1040;&#1043;&#1056;&#1040;&#1052;&#1052;&#1067;%202019.xlsx" TargetMode="Externa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package" Target="../embeddings/_____Microsoft_Office_Excel1.xlsx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2.xlsx"/><Relationship Id="rId1" Type="http://schemas.openxmlformats.org/officeDocument/2006/relationships/themeOverride" Target="../theme/themeOverride1.xml"/></Relationships>
</file>

<file path=word/charts/_rels/chart6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3.xlsx"/><Relationship Id="rId1" Type="http://schemas.openxmlformats.org/officeDocument/2006/relationships/themeOverride" Target="../theme/themeOverride2.xml"/></Relationships>
</file>

<file path=word/charts/_rels/chart7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4.xlsx"/><Relationship Id="rId1" Type="http://schemas.openxmlformats.org/officeDocument/2006/relationships/themeOverride" Target="../theme/themeOverride3.xml"/></Relationships>
</file>

<file path=word/charts/_rels/chart8.xml.rels><?xml version="1.0" encoding="UTF-8" standalone="yes"?>
<Relationships xmlns="http://schemas.openxmlformats.org/package/2006/relationships"><Relationship Id="rId2" Type="http://schemas.openxmlformats.org/officeDocument/2006/relationships/oleObject" Target="file:///\\server-fin\_money\&#1055;&#1088;&#1086;&#1077;&#1082;&#1090;_2016%20&#1075;&#1086;&#1076;\&#1054;&#1090;&#1095;&#1077;&#1090;%20&#1079;&#1072;%20&#1075;&#1086;&#1076;%20%202016\&#1043;&#1088;&#1072;&#1092;&#1080;&#1082;&#1080;_&#1076;&#1080;&#1072;&#1075;&#1088;&#1072;&#1084;&#1084;&#1099;.xlsx" TargetMode="External"/><Relationship Id="rId1" Type="http://schemas.openxmlformats.org/officeDocument/2006/relationships/themeOverride" Target="../theme/themeOverride4.xml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oleObject" Target="file:///\\server-fin\_money\&#1055;&#1088;&#1086;&#1077;&#1082;&#1090;_2019-2021\&#1054;&#1090;&#1095;&#1077;&#1090;%202019%20&#1075;&#1086;&#1076;\&#1043;&#1056;&#1040;&#1060;&#1048;&#1050;&#1048;-&#1044;&#1048;&#1040;&#1043;&#1056;&#1040;&#1052;&#1052;&#1067;%202019.xlsx" TargetMode="External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oleObject" Target="file:///\\server-fin\_money\&#1055;&#1088;&#1086;&#1077;&#1082;&#1090;_2019-2021\&#1054;&#1090;&#1095;&#1077;&#1090;%202019%20&#1075;&#1086;&#1076;\&#1043;&#1056;&#1040;&#1060;&#1048;&#1050;&#1048;-&#1044;&#1048;&#1040;&#1043;&#1056;&#1040;&#1052;&#1052;&#1067;%202019.xlsx" TargetMode="External"/></Relationships>
</file>

<file path=word/charts/_rels/chart11.xml.rels><?xml version="1.0" encoding="UTF-8" standalone="yes"?>
<Relationships xmlns="http://schemas.openxmlformats.org/package/2006/relationships"><Relationship Id="rId1" Type="http://schemas.openxmlformats.org/officeDocument/2006/relationships/oleObject" Target="file:///\\server-fin\_money\&#1055;&#1088;&#1086;&#1077;&#1082;&#1090;_2019-2021\&#1054;&#1090;&#1095;&#1077;&#1090;%202019%20&#1075;&#1086;&#1076;\&#1043;&#1056;&#1040;&#1060;&#1048;&#1050;&#1048;-&#1044;&#1048;&#1040;&#1043;&#1056;&#1040;&#1052;&#1052;&#1067;%202019.xlsx" TargetMode="External"/></Relationships>
</file>

<file path=word/charts/_rels/chart12.xml.rels><?xml version="1.0" encoding="UTF-8" standalone="yes"?>
<Relationships xmlns="http://schemas.openxmlformats.org/package/2006/relationships"><Relationship Id="rId1" Type="http://schemas.openxmlformats.org/officeDocument/2006/relationships/oleObject" Target="file:///\\server-fin\_money\&#1055;&#1088;&#1086;&#1077;&#1082;&#1090;_2019-2021\&#1054;&#1090;&#1095;&#1077;&#1090;%202019%20&#1075;&#1086;&#1076;\&#1043;&#1056;&#1040;&#1060;&#1048;&#1050;&#1048;-&#1044;&#1048;&#1040;&#1043;&#1056;&#1040;&#1052;&#1052;&#1067;%202019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36"/>
  <c:chart>
    <c:view3D>
      <c:rAngAx val="1"/>
    </c:view3D>
    <c:sideWall>
      <c:spPr>
        <a:noFill/>
      </c:spPr>
    </c:sideWall>
    <c:backWall>
      <c:spPr>
        <a:noFill/>
      </c:spPr>
    </c:backWall>
    <c:plotArea>
      <c:layout>
        <c:manualLayout>
          <c:layoutTarget val="inner"/>
          <c:xMode val="edge"/>
          <c:yMode val="edge"/>
          <c:x val="0.20813681275361087"/>
          <c:y val="7.717872185120743E-2"/>
          <c:w val="0.79186312648419466"/>
          <c:h val="0.75322283292269065"/>
        </c:manualLayout>
      </c:layout>
      <c:bar3DChart>
        <c:barDir val="col"/>
        <c:grouping val="clustered"/>
        <c:ser>
          <c:idx val="2"/>
          <c:order val="0"/>
          <c:tx>
            <c:strRef>
              <c:f>'общ параметры'!$E$2</c:f>
              <c:strCache>
                <c:ptCount val="1"/>
                <c:pt idx="0">
                  <c:v>2017 год</c:v>
                </c:pt>
              </c:strCache>
            </c:strRef>
          </c:tx>
          <c:spPr>
            <a:solidFill>
              <a:srgbClr val="FFE38B"/>
            </a:solidFill>
            <a:ln>
              <a:solidFill>
                <a:srgbClr val="FFCC00"/>
              </a:solidFill>
            </a:ln>
          </c:spPr>
          <c:dLbls>
            <c:dLbl>
              <c:idx val="0"/>
              <c:layout>
                <c:manualLayout>
                  <c:x val="2.9175784099197627E-3"/>
                  <c:y val="0.24159663865546299"/>
                </c:manualLayout>
              </c:layout>
              <c:spPr/>
              <c:txPr>
                <a:bodyPr rot="-5400000" vert="horz"/>
                <a:lstStyle/>
                <a:p>
                  <a:pPr>
                    <a:defRPr b="1">
                      <a:solidFill>
                        <a:sysClr val="windowText" lastClr="000000"/>
                      </a:solidFill>
                      <a:latin typeface="Times New Roman" pitchFamily="18" charset="0"/>
                      <a:cs typeface="Times New Roman" pitchFamily="18" charset="0"/>
                    </a:defRPr>
                  </a:pPr>
                  <a:endParaRPr lang="ru-RU"/>
                </a:p>
              </c:txPr>
              <c:showVal val="1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2.9175784099197627E-3"/>
                  <c:y val="0.23809523809523903"/>
                </c:manualLayout>
              </c:layout>
              <c:spPr/>
              <c:txPr>
                <a:bodyPr rot="-5400000" vert="horz"/>
                <a:lstStyle/>
                <a:p>
                  <a:pPr>
                    <a:defRPr b="1">
                      <a:latin typeface="Times New Roman" pitchFamily="18" charset="0"/>
                      <a:cs typeface="Times New Roman" pitchFamily="18" charset="0"/>
                    </a:defRPr>
                  </a:pPr>
                  <a:endParaRPr lang="ru-RU"/>
                </a:p>
              </c:txPr>
              <c:showVal val="1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-5400000" vert="horz"/>
              <a:lstStyle/>
              <a:p>
                <a:pPr>
                  <a:defRPr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Val val="1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val>
            <c:numRef>
              <c:f>'общ параметры'!$E$3:$E$4</c:f>
              <c:numCache>
                <c:formatCode>#,##0.00</c:formatCode>
                <c:ptCount val="2"/>
                <c:pt idx="0">
                  <c:v>4041.04</c:v>
                </c:pt>
                <c:pt idx="1">
                  <c:v>4077.4300000000007</c:v>
                </c:pt>
              </c:numCache>
            </c:numRef>
          </c:val>
        </c:ser>
        <c:ser>
          <c:idx val="3"/>
          <c:order val="1"/>
          <c:tx>
            <c:strRef>
              <c:f>'общ параметры'!$F$2</c:f>
              <c:strCache>
                <c:ptCount val="1"/>
                <c:pt idx="0">
                  <c:v>2018 год</c:v>
                </c:pt>
              </c:strCache>
            </c:strRef>
          </c:tx>
          <c:spPr>
            <a:solidFill>
              <a:srgbClr val="5A702E"/>
            </a:solidFill>
            <a:ln>
              <a:solidFill>
                <a:schemeClr val="accent3">
                  <a:lumMod val="75000"/>
                </a:schemeClr>
              </a:solidFill>
            </a:ln>
          </c:spPr>
          <c:dLbls>
            <c:dLbl>
              <c:idx val="0"/>
              <c:layout>
                <c:manualLayout>
                  <c:x val="-5.8351568198394795E-3"/>
                  <c:y val="0.39215686274509953"/>
                </c:manualLayout>
              </c:layout>
              <c:spPr/>
              <c:txPr>
                <a:bodyPr rot="-5400000" vert="horz"/>
                <a:lstStyle/>
                <a:p>
                  <a:pPr>
                    <a:defRPr b="1">
                      <a:solidFill>
                        <a:schemeClr val="bg1"/>
                      </a:solidFill>
                      <a:latin typeface="Times New Roman" pitchFamily="18" charset="0"/>
                      <a:cs typeface="Times New Roman" pitchFamily="18" charset="0"/>
                    </a:defRPr>
                  </a:pPr>
                  <a:endParaRPr lang="ru-RU"/>
                </a:p>
              </c:txPr>
              <c:showVal val="1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2.9175784099198738E-3"/>
                  <c:y val="0.37815126050420267"/>
                </c:manualLayout>
              </c:layout>
              <c:spPr/>
              <c:txPr>
                <a:bodyPr rot="-5400000" vert="horz"/>
                <a:lstStyle/>
                <a:p>
                  <a:pPr>
                    <a:defRPr b="1">
                      <a:solidFill>
                        <a:schemeClr val="bg1"/>
                      </a:solidFill>
                      <a:latin typeface="Times New Roman" pitchFamily="18" charset="0"/>
                      <a:cs typeface="Times New Roman" pitchFamily="18" charset="0"/>
                    </a:defRPr>
                  </a:pPr>
                  <a:endParaRPr lang="ru-RU"/>
                </a:p>
              </c:txPr>
              <c:showVal val="1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-5400000" vert="horz"/>
              <a:lstStyle/>
              <a:p>
                <a:pPr>
                  <a:defRPr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Val val="1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val>
            <c:numRef>
              <c:f>'общ параметры'!$F$3:$F$4</c:f>
              <c:numCache>
                <c:formatCode>#,##0.00</c:formatCode>
                <c:ptCount val="2"/>
                <c:pt idx="0">
                  <c:v>4250.1200000000017</c:v>
                </c:pt>
                <c:pt idx="1">
                  <c:v>4266.43</c:v>
                </c:pt>
              </c:numCache>
            </c:numRef>
          </c:val>
        </c:ser>
        <c:ser>
          <c:idx val="0"/>
          <c:order val="2"/>
          <c:tx>
            <c:strRef>
              <c:f>'общ параметры'!$G$2</c:f>
              <c:strCache>
                <c:ptCount val="1"/>
                <c:pt idx="0">
                  <c:v>2019 год</c:v>
                </c:pt>
              </c:strCache>
            </c:strRef>
          </c:tx>
          <c:spPr>
            <a:solidFill>
              <a:srgbClr val="793905"/>
            </a:solidFill>
          </c:spPr>
          <c:dLbls>
            <c:dLbl>
              <c:idx val="0"/>
              <c:layout>
                <c:manualLayout>
                  <c:x val="-2.9175784099198187E-3"/>
                  <c:y val="0.38865546218487618"/>
                </c:manualLayout>
              </c:layout>
              <c:spPr/>
              <c:txPr>
                <a:bodyPr rot="-5400000" vert="horz"/>
                <a:lstStyle/>
                <a:p>
                  <a:pPr>
                    <a:defRPr b="1">
                      <a:solidFill>
                        <a:schemeClr val="bg1"/>
                      </a:solidFill>
                      <a:latin typeface="Times New Roman" pitchFamily="18" charset="0"/>
                      <a:cs typeface="Times New Roman" pitchFamily="18" charset="0"/>
                    </a:defRPr>
                  </a:pPr>
                  <a:endParaRPr lang="ru-RU"/>
                </a:p>
              </c:txPr>
              <c:showVal val="1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2.9175784099196595E-3"/>
                  <c:y val="0.38165266106442802"/>
                </c:manualLayout>
              </c:layout>
              <c:spPr/>
              <c:txPr>
                <a:bodyPr rot="-5400000" vert="horz"/>
                <a:lstStyle/>
                <a:p>
                  <a:pPr>
                    <a:defRPr b="1">
                      <a:solidFill>
                        <a:schemeClr val="bg1"/>
                      </a:solidFill>
                      <a:latin typeface="Times New Roman" pitchFamily="18" charset="0"/>
                      <a:cs typeface="Times New Roman" pitchFamily="18" charset="0"/>
                    </a:defRPr>
                  </a:pPr>
                  <a:endParaRPr lang="ru-RU"/>
                </a:p>
              </c:txPr>
              <c:showVal val="1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-5400000" vert="horz"/>
              <a:lstStyle/>
              <a:p>
                <a:pPr>
                  <a:defRPr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Val val="1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val>
            <c:numRef>
              <c:f>'общ параметры'!$G$3:$G$4</c:f>
              <c:numCache>
                <c:formatCode>#,##0.00</c:formatCode>
                <c:ptCount val="2"/>
                <c:pt idx="0">
                  <c:v>4536.5</c:v>
                </c:pt>
                <c:pt idx="1">
                  <c:v>4604.2</c:v>
                </c:pt>
              </c:numCache>
            </c:numRef>
          </c:val>
        </c:ser>
        <c:shape val="box"/>
        <c:axId val="348109824"/>
        <c:axId val="348119808"/>
        <c:axId val="0"/>
      </c:bar3DChart>
      <c:catAx>
        <c:axId val="348109824"/>
        <c:scaling>
          <c:orientation val="minMax"/>
        </c:scaling>
        <c:axPos val="b"/>
        <c:tickLblPos val="nextTo"/>
        <c:txPr>
          <a:bodyPr/>
          <a:lstStyle/>
          <a:p>
            <a:pPr>
              <a:defRPr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348119808"/>
        <c:crosses val="autoZero"/>
        <c:auto val="1"/>
        <c:lblAlgn val="ctr"/>
        <c:lblOffset val="100"/>
      </c:catAx>
      <c:valAx>
        <c:axId val="348119808"/>
        <c:scaling>
          <c:orientation val="minMax"/>
          <c:max val="4600"/>
          <c:min val="3000"/>
        </c:scaling>
        <c:axPos val="l"/>
        <c:majorGridlines>
          <c:spPr>
            <a:ln>
              <a:solidFill>
                <a:schemeClr val="bg1">
                  <a:lumMod val="85000"/>
                </a:schemeClr>
              </a:solidFill>
            </a:ln>
          </c:spPr>
        </c:majorGridlines>
        <c:numFmt formatCode="#,##0.00" sourceLinked="1"/>
        <c:tickLblPos val="nextTo"/>
        <c:txPr>
          <a:bodyPr/>
          <a:lstStyle/>
          <a:p>
            <a:pPr>
              <a:defRPr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348109824"/>
        <c:crosses val="autoZero"/>
        <c:crossBetween val="between"/>
      </c:valAx>
    </c:plotArea>
    <c:legend>
      <c:legendPos val="b"/>
      <c:layout/>
      <c:txPr>
        <a:bodyPr/>
        <a:lstStyle/>
        <a:p>
          <a:pPr>
            <a:defRPr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gap"/>
  </c:chart>
  <c:spPr>
    <a:ln>
      <a:noFill/>
    </a:ln>
  </c:sp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>
        <c:manualLayout>
          <c:layoutTarget val="inner"/>
          <c:xMode val="edge"/>
          <c:yMode val="edge"/>
          <c:x val="6.9613684434410697E-2"/>
          <c:y val="5.497251374312858E-2"/>
          <c:w val="0.79653983277747764"/>
          <c:h val="0.79540229885057467"/>
        </c:manualLayout>
      </c:layout>
      <c:lineChart>
        <c:grouping val="standard"/>
        <c:ser>
          <c:idx val="0"/>
          <c:order val="0"/>
          <c:tx>
            <c:strRef>
              <c:f>'др МО'!$AW$30</c:f>
              <c:strCache>
                <c:ptCount val="1"/>
                <c:pt idx="0">
                  <c:v>Томск</c:v>
                </c:pt>
              </c:strCache>
            </c:strRef>
          </c:tx>
          <c:dLbls>
            <c:dLbl>
              <c:idx val="0"/>
              <c:layout>
                <c:manualLayout>
                  <c:x val="-3.2480714575720909E-2"/>
                  <c:y val="-7.1942446043165464E-2"/>
                </c:manualLayout>
              </c:layout>
              <c:showVal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layout>
                <c:manualLayout>
                  <c:x val="-6.9833536337799748E-2"/>
                  <c:y val="-6.2350119904076934E-2"/>
                </c:manualLayout>
              </c:layout>
              <c:showVal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>
                <c:manualLayout>
                  <c:x val="-3.5728786033292728E-2"/>
                  <c:y val="-6.2350119904076934E-2"/>
                </c:manualLayout>
              </c:layout>
              <c:showVal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Val val="1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'др МО'!$BD$29:$BF$29</c:f>
              <c:strCache>
                <c:ptCount val="3"/>
                <c:pt idx="0">
                  <c:v>Темп роста 2017 к 2016</c:v>
                </c:pt>
                <c:pt idx="1">
                  <c:v>Темп роста 2018 к 2016</c:v>
                </c:pt>
                <c:pt idx="2">
                  <c:v>Темп роста 2019 к 2016</c:v>
                </c:pt>
              </c:strCache>
            </c:strRef>
          </c:cat>
          <c:val>
            <c:numRef>
              <c:f>'др МО'!$BD$30:$BF$30</c:f>
              <c:numCache>
                <c:formatCode>0.0%</c:formatCode>
                <c:ptCount val="3"/>
                <c:pt idx="0">
                  <c:v>1.073378922720249</c:v>
                </c:pt>
                <c:pt idx="1">
                  <c:v>1.1821457301358189</c:v>
                </c:pt>
                <c:pt idx="2">
                  <c:v>1.3273314693391658</c:v>
                </c:pt>
              </c:numCache>
            </c:numRef>
          </c:val>
        </c:ser>
        <c:ser>
          <c:idx val="1"/>
          <c:order val="1"/>
          <c:tx>
            <c:strRef>
              <c:f>'др МО'!$AW$31</c:f>
              <c:strCache>
                <c:ptCount val="1"/>
                <c:pt idx="0">
                  <c:v>Стрежевой</c:v>
                </c:pt>
              </c:strCache>
            </c:strRef>
          </c:tx>
          <c:dLbls>
            <c:dLbl>
              <c:idx val="0"/>
              <c:layout>
                <c:manualLayout>
                  <c:x val="-3.5728786033292728E-2"/>
                  <c:y val="6.2350119904076934E-2"/>
                </c:manualLayout>
              </c:layout>
              <c:showVal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layout>
                <c:manualLayout>
                  <c:x val="-6.9833536337799748E-2"/>
                  <c:y val="3.3573141486810766E-2"/>
                </c:manualLayout>
              </c:layout>
              <c:showVal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>
                <c:manualLayout>
                  <c:x val="-6.6585464880227374E-2"/>
                  <c:y val="5.2757793764988022E-2"/>
                </c:manualLayout>
              </c:layout>
              <c:showVal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Val val="1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'др МО'!$BD$29:$BF$29</c:f>
              <c:strCache>
                <c:ptCount val="3"/>
                <c:pt idx="0">
                  <c:v>Темп роста 2017 к 2016</c:v>
                </c:pt>
                <c:pt idx="1">
                  <c:v>Темп роста 2018 к 2016</c:v>
                </c:pt>
                <c:pt idx="2">
                  <c:v>Темп роста 2019 к 2016</c:v>
                </c:pt>
              </c:strCache>
            </c:strRef>
          </c:cat>
          <c:val>
            <c:numRef>
              <c:f>'др МО'!$BD$31:$BF$31</c:f>
              <c:numCache>
                <c:formatCode>0.0%</c:formatCode>
                <c:ptCount val="3"/>
                <c:pt idx="0">
                  <c:v>1.0302185724030761</c:v>
                </c:pt>
                <c:pt idx="1">
                  <c:v>0.8948192240963756</c:v>
                </c:pt>
                <c:pt idx="2">
                  <c:v>0.94773268236442365</c:v>
                </c:pt>
              </c:numCache>
            </c:numRef>
          </c:val>
        </c:ser>
        <c:ser>
          <c:idx val="2"/>
          <c:order val="2"/>
          <c:tx>
            <c:strRef>
              <c:f>'др МО'!$AW$32</c:f>
              <c:strCache>
                <c:ptCount val="1"/>
                <c:pt idx="0">
                  <c:v>Кедровый</c:v>
                </c:pt>
              </c:strCache>
            </c:strRef>
          </c:tx>
          <c:dLbls>
            <c:dLbl>
              <c:idx val="0"/>
              <c:layout>
                <c:manualLayout>
                  <c:x val="-5.5472272696682152E-2"/>
                  <c:y val="-6.823207065333052E-2"/>
                </c:manualLayout>
              </c:layout>
              <c:showVal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layout>
                <c:manualLayout>
                  <c:x val="-3.5728786033292728E-2"/>
                  <c:y val="6.7146282973621421E-2"/>
                </c:manualLayout>
              </c:layout>
              <c:showVal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Val val="1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'др МО'!$BD$29:$BF$29</c:f>
              <c:strCache>
                <c:ptCount val="3"/>
                <c:pt idx="0">
                  <c:v>Темп роста 2017 к 2016</c:v>
                </c:pt>
                <c:pt idx="1">
                  <c:v>Темп роста 2018 к 2016</c:v>
                </c:pt>
                <c:pt idx="2">
                  <c:v>Темп роста 2019 к 2016</c:v>
                </c:pt>
              </c:strCache>
            </c:strRef>
          </c:cat>
          <c:val>
            <c:numRef>
              <c:f>'др МО'!$BD$32:$BF$32</c:f>
              <c:numCache>
                <c:formatCode>0.0%</c:formatCode>
                <c:ptCount val="3"/>
                <c:pt idx="0">
                  <c:v>1.1191604812149916</c:v>
                </c:pt>
                <c:pt idx="1">
                  <c:v>1.2400686227447226</c:v>
                </c:pt>
                <c:pt idx="2">
                  <c:v>1.4431529022259604</c:v>
                </c:pt>
              </c:numCache>
            </c:numRef>
          </c:val>
        </c:ser>
        <c:ser>
          <c:idx val="3"/>
          <c:order val="3"/>
          <c:tx>
            <c:strRef>
              <c:f>'др МО'!$AW$33</c:f>
              <c:strCache>
                <c:ptCount val="1"/>
                <c:pt idx="0">
                  <c:v>Северск</c:v>
                </c:pt>
              </c:strCache>
            </c:strRef>
          </c:tx>
          <c:marker>
            <c:symbol val="circle"/>
            <c:size val="7"/>
          </c:marker>
          <c:dLbls>
            <c:dLbl>
              <c:idx val="0"/>
              <c:layout>
                <c:manualLayout>
                  <c:x val="9.7442143727161992E-3"/>
                  <c:y val="1.9184274627541981E-2"/>
                </c:manualLayout>
              </c:layout>
              <c:showVal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layout>
                <c:manualLayout>
                  <c:x val="-3.0856678846934632E-2"/>
                  <c:y val="6.7146282973621421E-2"/>
                </c:manualLayout>
              </c:layout>
              <c:showVal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>
                <c:manualLayout>
                  <c:x val="-4.8721071863581213E-3"/>
                  <c:y val="-3.8369304556354941E-2"/>
                </c:manualLayout>
              </c:layout>
              <c:showVal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Val val="1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'др МО'!$BD$29:$BF$29</c:f>
              <c:strCache>
                <c:ptCount val="3"/>
                <c:pt idx="0">
                  <c:v>Темп роста 2017 к 2016</c:v>
                </c:pt>
                <c:pt idx="1">
                  <c:v>Темп роста 2018 к 2016</c:v>
                </c:pt>
                <c:pt idx="2">
                  <c:v>Темп роста 2019 к 2016</c:v>
                </c:pt>
              </c:strCache>
            </c:strRef>
          </c:cat>
          <c:val>
            <c:numRef>
              <c:f>'др МО'!$BD$33:$BF$33</c:f>
              <c:numCache>
                <c:formatCode>0.0%</c:formatCode>
                <c:ptCount val="3"/>
                <c:pt idx="0">
                  <c:v>1.0838149731683764</c:v>
                </c:pt>
                <c:pt idx="1">
                  <c:v>1.1398927378742738</c:v>
                </c:pt>
                <c:pt idx="2">
                  <c:v>1.2166914060891802</c:v>
                </c:pt>
              </c:numCache>
            </c:numRef>
          </c:val>
        </c:ser>
        <c:marker val="1"/>
        <c:axId val="348037504"/>
        <c:axId val="348039040"/>
      </c:lineChart>
      <c:catAx>
        <c:axId val="348037504"/>
        <c:scaling>
          <c:orientation val="minMax"/>
        </c:scaling>
        <c:axPos val="b"/>
        <c:numFmt formatCode="General" sourceLinked="0"/>
        <c:tickLblPos val="nextTo"/>
        <c:txPr>
          <a:bodyPr/>
          <a:lstStyle/>
          <a:p>
            <a:pPr>
              <a:defRPr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348039040"/>
        <c:crosses val="autoZero"/>
        <c:auto val="1"/>
        <c:lblAlgn val="ctr"/>
        <c:lblOffset val="100"/>
      </c:catAx>
      <c:valAx>
        <c:axId val="348039040"/>
        <c:scaling>
          <c:orientation val="minMax"/>
          <c:max val="1.5"/>
          <c:min val="0.8"/>
        </c:scaling>
        <c:axPos val="l"/>
        <c:majorGridlines>
          <c:spPr>
            <a:ln>
              <a:solidFill>
                <a:schemeClr val="bg1">
                  <a:lumMod val="95000"/>
                </a:schemeClr>
              </a:solidFill>
            </a:ln>
          </c:spPr>
        </c:majorGridlines>
        <c:numFmt formatCode="0.0%" sourceLinked="1"/>
        <c:tickLblPos val="nextTo"/>
        <c:txPr>
          <a:bodyPr/>
          <a:lstStyle/>
          <a:p>
            <a:pPr>
              <a:defRPr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348037504"/>
        <c:crosses val="autoZero"/>
        <c:crossBetween val="between"/>
      </c:valAx>
    </c:plotArea>
    <c:legend>
      <c:legendPos val="r"/>
      <c:layout/>
      <c:txPr>
        <a:bodyPr/>
        <a:lstStyle/>
        <a:p>
          <a:pPr>
            <a:defRPr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gap"/>
  </c:chart>
  <c:spPr>
    <a:ln>
      <a:noFill/>
    </a:ln>
  </c:spPr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view3D>
      <c:rAngAx val="1"/>
    </c:view3D>
    <c:plotArea>
      <c:layout/>
      <c:bar3DChart>
        <c:barDir val="col"/>
        <c:grouping val="clustered"/>
        <c:ser>
          <c:idx val="2"/>
          <c:order val="0"/>
          <c:tx>
            <c:strRef>
              <c:f>ТО!$H$3</c:f>
              <c:strCache>
                <c:ptCount val="1"/>
                <c:pt idx="0">
                  <c:v>Остатки на 01.01.2017</c:v>
                </c:pt>
              </c:strCache>
            </c:strRef>
          </c:tx>
          <c:spPr>
            <a:ln>
              <a:solidFill>
                <a:sysClr val="window" lastClr="FFFFFF">
                  <a:lumMod val="85000"/>
                </a:sysClr>
              </a:solidFill>
            </a:ln>
          </c:spPr>
          <c:cat>
            <c:strRef>
              <c:f>ТО!$D$5:$D$7</c:f>
              <c:strCache>
                <c:ptCount val="3"/>
                <c:pt idx="0">
                  <c:v>Муниципальные образования ТО, всего</c:v>
                </c:pt>
                <c:pt idx="1">
                  <c:v>Городские округа, всего</c:v>
                </c:pt>
                <c:pt idx="2">
                  <c:v>ЗАТО Северск</c:v>
                </c:pt>
              </c:strCache>
            </c:strRef>
          </c:cat>
          <c:val>
            <c:numRef>
              <c:f>ТО!$J$5:$J$7</c:f>
              <c:numCache>
                <c:formatCode>#,##0.00</c:formatCode>
                <c:ptCount val="3"/>
                <c:pt idx="0">
                  <c:v>1394822.9</c:v>
                </c:pt>
                <c:pt idx="1">
                  <c:v>433717.6</c:v>
                </c:pt>
                <c:pt idx="2">
                  <c:v>53166.8</c:v>
                </c:pt>
              </c:numCache>
            </c:numRef>
          </c:val>
        </c:ser>
        <c:ser>
          <c:idx val="0"/>
          <c:order val="1"/>
          <c:tx>
            <c:strRef>
              <c:f>ТО!$K$3</c:f>
              <c:strCache>
                <c:ptCount val="1"/>
                <c:pt idx="0">
                  <c:v>Остатки на 01.01.2018</c:v>
                </c:pt>
              </c:strCache>
            </c:strRef>
          </c:tx>
          <c:val>
            <c:numRef>
              <c:f>ТО!$M$5:$M$7</c:f>
              <c:numCache>
                <c:formatCode>#,##0.00</c:formatCode>
                <c:ptCount val="3"/>
                <c:pt idx="0">
                  <c:v>1028397.1</c:v>
                </c:pt>
                <c:pt idx="1">
                  <c:v>409941.3</c:v>
                </c:pt>
                <c:pt idx="2">
                  <c:v>54587</c:v>
                </c:pt>
              </c:numCache>
            </c:numRef>
          </c:val>
        </c:ser>
        <c:ser>
          <c:idx val="3"/>
          <c:order val="2"/>
          <c:tx>
            <c:strRef>
              <c:f>ТО!$N$3</c:f>
              <c:strCache>
                <c:ptCount val="1"/>
                <c:pt idx="0">
                  <c:v>Остатки на 01.01.2019</c:v>
                </c:pt>
              </c:strCache>
            </c:strRef>
          </c:tx>
          <c:val>
            <c:numRef>
              <c:f>ТО!$P$5:$P$7</c:f>
              <c:numCache>
                <c:formatCode>#,##0.00</c:formatCode>
                <c:ptCount val="3"/>
                <c:pt idx="0">
                  <c:v>1222186.5</c:v>
                </c:pt>
                <c:pt idx="1">
                  <c:v>421003.39999999997</c:v>
                </c:pt>
                <c:pt idx="2">
                  <c:v>74628.399999999994</c:v>
                </c:pt>
              </c:numCache>
            </c:numRef>
          </c:val>
        </c:ser>
        <c:ser>
          <c:idx val="1"/>
          <c:order val="3"/>
          <c:tx>
            <c:v>Остатки на 01.01.2020</c:v>
          </c:tx>
          <c:val>
            <c:numRef>
              <c:f>(ТО!$S$5,ТО!$S$6,ТО!$S$7)</c:f>
              <c:numCache>
                <c:formatCode>#,##0.00</c:formatCode>
                <c:ptCount val="3"/>
                <c:pt idx="0">
                  <c:v>1383889.6</c:v>
                </c:pt>
                <c:pt idx="1">
                  <c:v>427759.69999999995</c:v>
                </c:pt>
                <c:pt idx="2">
                  <c:v>30320.699999999946</c:v>
                </c:pt>
              </c:numCache>
            </c:numRef>
          </c:val>
        </c:ser>
        <c:shape val="box"/>
        <c:axId val="326193152"/>
        <c:axId val="326194688"/>
        <c:axId val="0"/>
      </c:bar3DChart>
      <c:catAx>
        <c:axId val="326193152"/>
        <c:scaling>
          <c:orientation val="minMax"/>
        </c:scaling>
        <c:axPos val="b"/>
        <c:numFmt formatCode="General" sourceLinked="0"/>
        <c:tickLblPos val="nextTo"/>
        <c:txPr>
          <a:bodyPr/>
          <a:lstStyle/>
          <a:p>
            <a:pPr>
              <a:defRPr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326194688"/>
        <c:crosses val="autoZero"/>
        <c:auto val="1"/>
        <c:lblAlgn val="ctr"/>
        <c:lblOffset val="100"/>
      </c:catAx>
      <c:valAx>
        <c:axId val="326194688"/>
        <c:scaling>
          <c:orientation val="minMax"/>
        </c:scaling>
        <c:axPos val="l"/>
        <c:majorGridlines>
          <c:spPr>
            <a:ln>
              <a:solidFill>
                <a:sysClr val="window" lastClr="FFFFFF">
                  <a:lumMod val="85000"/>
                </a:sysClr>
              </a:solidFill>
            </a:ln>
          </c:spPr>
        </c:majorGridlines>
        <c:numFmt formatCode="#,##0.00" sourceLinked="1"/>
        <c:tickLblPos val="nextTo"/>
        <c:txPr>
          <a:bodyPr/>
          <a:lstStyle/>
          <a:p>
            <a:pPr>
              <a:defRPr sz="800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326193152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71055186878932697"/>
          <c:y val="0.2640480448418524"/>
          <c:w val="0.26746914004745048"/>
          <c:h val="0.65991405311624185"/>
        </c:manualLayout>
      </c:layout>
      <c:txPr>
        <a:bodyPr/>
        <a:lstStyle/>
        <a:p>
          <a:pPr>
            <a:defRPr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gap"/>
  </c:chart>
  <c:spPr>
    <a:ln>
      <a:noFill/>
    </a:ln>
  </c:spPr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chart>
    <c:plotArea>
      <c:layout>
        <c:manualLayout>
          <c:layoutTarget val="inner"/>
          <c:xMode val="edge"/>
          <c:yMode val="edge"/>
          <c:x val="0"/>
          <c:y val="2.6471483882194672E-3"/>
          <c:w val="0.67435198880526659"/>
          <c:h val="0.98089354852742849"/>
        </c:manualLayout>
      </c:layout>
      <c:pieChart>
        <c:varyColors val="1"/>
        <c:ser>
          <c:idx val="0"/>
          <c:order val="0"/>
          <c:dLbls>
            <c:dLbl>
              <c:idx val="0"/>
              <c:layout>
                <c:manualLayout>
                  <c:x val="-0.1107764752625935"/>
                  <c:y val="-0.17702181758530192"/>
                </c:manualLayout>
              </c:layout>
              <c:tx>
                <c:rich>
                  <a:bodyPr/>
                  <a:lstStyle/>
                  <a:p>
                    <a:r>
                      <a:rPr lang="en-US" sz="1200" b="1">
                        <a:latin typeface="Times New Roman" panose="02020603050405020304" pitchFamily="18" charset="0"/>
                        <a:cs typeface="Times New Roman" panose="02020603050405020304" pitchFamily="18" charset="0"/>
                      </a:rPr>
                      <a:t>62%</a:t>
                    </a:r>
                  </a:p>
                </c:rich>
              </c:tx>
              <c:showVal val="1"/>
              <c:showCatName val="1"/>
              <c:showPercent val="1"/>
              <c:extLst>
                <c:ext xmlns:c15="http://schemas.microsoft.com/office/drawing/2012/chart" uri="{CE6537A1-D6FC-4f65-9D91-7224C49458BB}">
                  <c15:layout>
                    <c:manualLayout>
                      <c:w val="0.10060125060125061"/>
                      <c:h val="0.11860174781523096"/>
                    </c:manualLayout>
                  </c15:layout>
                </c:ext>
              </c:extLst>
            </c:dLbl>
            <c:dLbl>
              <c:idx val="1"/>
              <c:layout>
                <c:manualLayout>
                  <c:x val="9.3525191968066329E-2"/>
                  <c:y val="-5.9303368328958883E-2"/>
                </c:manualLayout>
              </c:layout>
              <c:tx>
                <c:rich>
                  <a:bodyPr/>
                  <a:lstStyle/>
                  <a:p>
                    <a:r>
                      <a:rPr lang="en-US" sz="1200" b="1">
                        <a:latin typeface="Times New Roman" panose="02020603050405020304" pitchFamily="18" charset="0"/>
                        <a:cs typeface="Times New Roman" panose="02020603050405020304" pitchFamily="18" charset="0"/>
                      </a:rPr>
                      <a:t>18%</a:t>
                    </a:r>
                  </a:p>
                </c:rich>
              </c:tx>
              <c:showVal val="1"/>
              <c:showCatName val="1"/>
              <c:showPercent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>
                <c:manualLayout>
                  <c:x val="7.2298683960207347E-2"/>
                  <c:y val="0.1708699693788277"/>
                </c:manualLayout>
              </c:layout>
              <c:tx>
                <c:rich>
                  <a:bodyPr/>
                  <a:lstStyle/>
                  <a:p>
                    <a:r>
                      <a:rPr lang="en-US" sz="1200" b="1">
                        <a:latin typeface="Times New Roman" panose="02020603050405020304" pitchFamily="18" charset="0"/>
                        <a:cs typeface="Times New Roman" panose="02020603050405020304" pitchFamily="18" charset="0"/>
                      </a:rPr>
                      <a:t>20%</a:t>
                    </a:r>
                  </a:p>
                </c:rich>
              </c:tx>
              <c:showVal val="1"/>
              <c:showCatName val="1"/>
              <c:showPercent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numFmt formatCode="0.0%" sourceLinked="0"/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000"/>
                </a:pPr>
                <a:endParaRPr lang="ru-RU"/>
              </a:p>
            </c:txPr>
            <c:showVal val="1"/>
            <c:showCatName val="1"/>
            <c:showPercent val="1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'рег проекты'!$B$3:$B$5</c:f>
              <c:strCache>
                <c:ptCount val="3"/>
                <c:pt idx="0">
                  <c:v>Федеральный бюджет</c:v>
                </c:pt>
                <c:pt idx="1">
                  <c:v>Областной бюджет</c:v>
                </c:pt>
                <c:pt idx="2">
                  <c:v>Местный бюджет</c:v>
                </c:pt>
              </c:strCache>
            </c:strRef>
          </c:cat>
          <c:val>
            <c:numRef>
              <c:f>'рег проекты'!$C$3:$C$5</c:f>
              <c:numCache>
                <c:formatCode>General</c:formatCode>
                <c:ptCount val="3"/>
                <c:pt idx="0">
                  <c:v>201.9</c:v>
                </c:pt>
                <c:pt idx="1">
                  <c:v>59</c:v>
                </c:pt>
                <c:pt idx="2" formatCode="#,##0.00">
                  <c:v>66.599999999999994</c:v>
                </c:pt>
              </c:numCache>
            </c:numRef>
          </c:val>
        </c:ser>
        <c:firstSliceAng val="0"/>
      </c:pieChart>
    </c:plotArea>
    <c:legend>
      <c:legendPos val="r"/>
      <c:legendEntry>
        <c:idx val="0"/>
        <c:txPr>
          <a:bodyPr/>
          <a:lstStyle/>
          <a:p>
            <a:pPr>
              <a:defRPr sz="1200" baseline="0">
                <a:latin typeface="Times New Roman" panose="02020603050405020304" pitchFamily="18" charset="0"/>
              </a:defRPr>
            </a:pPr>
            <a:endParaRPr lang="ru-RU"/>
          </a:p>
        </c:txPr>
      </c:legendEntry>
      <c:legendEntry>
        <c:idx val="1"/>
        <c:txPr>
          <a:bodyPr/>
          <a:lstStyle/>
          <a:p>
            <a:pPr>
              <a:defRPr sz="1200" baseline="0">
                <a:latin typeface="Times New Roman" panose="02020603050405020304" pitchFamily="18" charset="0"/>
              </a:defRPr>
            </a:pPr>
            <a:endParaRPr lang="ru-RU"/>
          </a:p>
        </c:txPr>
      </c:legendEntry>
      <c:legendEntry>
        <c:idx val="2"/>
        <c:txPr>
          <a:bodyPr/>
          <a:lstStyle/>
          <a:p>
            <a:pPr>
              <a:defRPr sz="1200" baseline="0">
                <a:latin typeface="Times New Roman" panose="02020603050405020304" pitchFamily="18" charset="0"/>
              </a:defRPr>
            </a:pPr>
            <a:endParaRPr lang="ru-RU"/>
          </a:p>
        </c:txPr>
      </c:legendEntry>
      <c:layout>
        <c:manualLayout>
          <c:xMode val="edge"/>
          <c:yMode val="edge"/>
          <c:x val="0.60053025466411336"/>
          <c:y val="0.3845789875516501"/>
          <c:w val="0.39039326306148892"/>
          <c:h val="0.5169422572178477"/>
        </c:manualLayout>
      </c:layout>
    </c:legend>
    <c:plotVisOnly val="1"/>
    <c:dispBlanksAs val="zero"/>
  </c:chart>
  <c:spPr>
    <a:ln>
      <a:noFill/>
    </a:ln>
  </c:spPr>
  <c:txPr>
    <a:bodyPr/>
    <a:lstStyle/>
    <a:p>
      <a:pPr>
        <a:defRPr>
          <a:ln>
            <a:noFill/>
          </a:ln>
        </a:defRPr>
      </a:pPr>
      <a:endParaRPr lang="ru-RU"/>
    </a:p>
  </c:txPr>
  <c:externalData r:id="rId1"/>
  <c:userShapes r:id="rId2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clrMapOvr bg1="lt1" tx1="dk1" bg2="lt2" tx2="dk2" accent1="accent1" accent2="accent2" accent3="accent3" accent4="accent4" accent5="accent5" accent6="accent6" hlink="hlink" folHlink="folHlink"/>
  <c:chart>
    <c:view3D>
      <c:rotX val="30"/>
      <c:perspective val="30"/>
    </c:view3D>
    <c:plotArea>
      <c:layout>
        <c:manualLayout>
          <c:layoutTarget val="inner"/>
          <c:xMode val="edge"/>
          <c:yMode val="edge"/>
          <c:x val="0"/>
          <c:y val="2.6471483882194819E-3"/>
          <c:w val="0.67435198880526659"/>
          <c:h val="0.98089354852742849"/>
        </c:manualLayout>
      </c:layout>
      <c:pie3DChart>
        <c:varyColors val="1"/>
        <c:ser>
          <c:idx val="0"/>
          <c:order val="0"/>
          <c:explosion val="25"/>
          <c:dLbls>
            <c:dLbl>
              <c:idx val="0"/>
              <c:layout>
                <c:manualLayout>
                  <c:x val="-9.0461823113232503E-2"/>
                  <c:y val="8.2474226804123682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21,4%</a:t>
                    </a:r>
                  </a:p>
                </c:rich>
              </c:tx>
              <c:showPercent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layout>
                <c:manualLayout>
                  <c:x val="-4.2202111099749022E-2"/>
                  <c:y val="-7.3166354896246857E-2"/>
                </c:manualLayout>
              </c:layout>
              <c:showPercent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>
                <c:manualLayout>
                  <c:x val="0.10543780158321345"/>
                  <c:y val="-0.440539545958817"/>
                </c:manualLayout>
              </c:layout>
              <c:showPercent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numFmt formatCode="0.0%" sourceLinked="0"/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Percent val="1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доходы!$B$3:$B$5</c:f>
              <c:strCache>
                <c:ptCount val="3"/>
                <c:pt idx="0">
                  <c:v>Налоговые доходы </c:v>
                </c:pt>
                <c:pt idx="1">
                  <c:v>Неналоговые доходы </c:v>
                </c:pt>
                <c:pt idx="2">
                  <c:v>Безвозмездные поступления </c:v>
                </c:pt>
              </c:strCache>
            </c:strRef>
          </c:cat>
          <c:val>
            <c:numRef>
              <c:f>доходы!$E$3:$E$5</c:f>
              <c:numCache>
                <c:formatCode>General</c:formatCode>
                <c:ptCount val="3"/>
                <c:pt idx="0">
                  <c:v>970.5</c:v>
                </c:pt>
                <c:pt idx="1">
                  <c:v>160.56</c:v>
                </c:pt>
                <c:pt idx="2" formatCode="#,##0.00">
                  <c:v>3405.4100000000012</c:v>
                </c:pt>
              </c:numCache>
            </c:numRef>
          </c:val>
        </c:ser>
      </c:pie3DChart>
    </c:plotArea>
    <c:legend>
      <c:legendPos val="r"/>
      <c:layout>
        <c:manualLayout>
          <c:xMode val="edge"/>
          <c:yMode val="edge"/>
          <c:x val="0.67375946315061863"/>
          <c:y val="0.22048876353142438"/>
          <c:w val="0.30215056362316306"/>
          <c:h val="0.67066700617646713"/>
        </c:manualLayout>
      </c:layout>
      <c:txPr>
        <a:bodyPr/>
        <a:lstStyle/>
        <a:p>
          <a:pPr>
            <a:defRPr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zero"/>
  </c:chart>
  <c:spPr>
    <a:ln>
      <a:noFill/>
    </a:ln>
  </c:spPr>
  <c:externalData r:id="rId2"/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20"/>
  <c:clrMapOvr bg1="lt1" tx1="dk1" bg2="lt2" tx2="dk2" accent1="accent1" accent2="accent2" accent3="accent3" accent4="accent4" accent5="accent5" accent6="accent6" hlink="hlink" folHlink="folHlink"/>
  <c:chart>
    <c:view3D>
      <c:rotX val="0"/>
      <c:rotY val="0"/>
      <c:perspective val="90"/>
    </c:view3D>
    <c:plotArea>
      <c:layout>
        <c:manualLayout>
          <c:layoutTarget val="inner"/>
          <c:xMode val="edge"/>
          <c:yMode val="edge"/>
          <c:x val="0.15777380100214791"/>
          <c:y val="2.6092575714563776E-2"/>
          <c:w val="0.71377066503051623"/>
          <c:h val="0.85818379675975054"/>
        </c:manualLayout>
      </c:layout>
      <c:bar3DChart>
        <c:barDir val="bar"/>
        <c:grouping val="clustered"/>
        <c:ser>
          <c:idx val="0"/>
          <c:order val="0"/>
          <c:tx>
            <c:strRef>
              <c:f>налоговые!$C$2</c:f>
              <c:strCache>
                <c:ptCount val="1"/>
                <c:pt idx="0">
                  <c:v>2018 год,         тыс.руб.</c:v>
                </c:pt>
              </c:strCache>
            </c:strRef>
          </c:tx>
          <c:spPr>
            <a:solidFill>
              <a:srgbClr val="0070C0"/>
            </a:solidFill>
            <a:ln>
              <a:solidFill>
                <a:schemeClr val="tx2">
                  <a:lumMod val="50000"/>
                </a:schemeClr>
              </a:solidFill>
            </a:ln>
          </c:spPr>
          <c:dLbls>
            <c:dLbl>
              <c:idx val="0"/>
              <c:layout>
                <c:manualLayout>
                  <c:x val="2.0582577041630013E-3"/>
                  <c:y val="-6.3251106894370674E-3"/>
                </c:manualLayout>
              </c:layout>
              <c:spPr/>
              <c:txPr>
                <a:bodyPr/>
                <a:lstStyle/>
                <a:p>
                  <a:pPr>
                    <a:defRPr>
                      <a:solidFill>
                        <a:srgbClr val="0070C0"/>
                      </a:solidFill>
                      <a:latin typeface="Times New Roman" pitchFamily="18" charset="0"/>
                      <a:cs typeface="Times New Roman" pitchFamily="18" charset="0"/>
                    </a:defRPr>
                  </a:pPr>
                  <a:endParaRPr lang="ru-RU"/>
                </a:p>
              </c:txPr>
              <c:showVal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layout>
                <c:manualLayout>
                  <c:x val="4.3290043290043302E-2"/>
                  <c:y val="0"/>
                </c:manualLayout>
              </c:layout>
              <c:spPr/>
              <c:txPr>
                <a:bodyPr/>
                <a:lstStyle/>
                <a:p>
                  <a:pPr>
                    <a:defRPr>
                      <a:solidFill>
                        <a:srgbClr val="0070C0"/>
                      </a:solidFill>
                      <a:latin typeface="Times New Roman" pitchFamily="18" charset="0"/>
                      <a:cs typeface="Times New Roman" pitchFamily="18" charset="0"/>
                    </a:defRPr>
                  </a:pPr>
                  <a:endParaRPr lang="ru-RU"/>
                </a:p>
              </c:txPr>
              <c:showVal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>
                <c:manualLayout>
                  <c:x val="2.5974025974026042E-2"/>
                  <c:y val="-5.7979511535578479E-17"/>
                </c:manualLayout>
              </c:layout>
              <c:spPr/>
              <c:txPr>
                <a:bodyPr/>
                <a:lstStyle/>
                <a:p>
                  <a:pPr>
                    <a:defRPr>
                      <a:solidFill>
                        <a:srgbClr val="0070C0"/>
                      </a:solidFill>
                      <a:latin typeface="Times New Roman" pitchFamily="18" charset="0"/>
                      <a:cs typeface="Times New Roman" pitchFamily="18" charset="0"/>
                    </a:defRPr>
                  </a:pPr>
                  <a:endParaRPr lang="ru-RU"/>
                </a:p>
              </c:txPr>
              <c:showVal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3"/>
              <c:layout>
                <c:manualLayout>
                  <c:x val="3.0303030303030311E-2"/>
                  <c:y val="-3.1625553447185402E-3"/>
                </c:manualLayout>
              </c:layout>
              <c:spPr/>
              <c:txPr>
                <a:bodyPr/>
                <a:lstStyle/>
                <a:p>
                  <a:pPr>
                    <a:defRPr>
                      <a:solidFill>
                        <a:srgbClr val="0070C0"/>
                      </a:solidFill>
                      <a:latin typeface="Times New Roman" pitchFamily="18" charset="0"/>
                      <a:cs typeface="Times New Roman" pitchFamily="18" charset="0"/>
                    </a:defRPr>
                  </a:pPr>
                  <a:endParaRPr lang="ru-RU"/>
                </a:p>
              </c:txPr>
              <c:showVal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4"/>
              <c:layout>
                <c:manualLayout>
                  <c:x val="2.3809523809523812E-2"/>
                  <c:y val="0"/>
                </c:manualLayout>
              </c:layout>
              <c:spPr/>
              <c:txPr>
                <a:bodyPr/>
                <a:lstStyle/>
                <a:p>
                  <a:pPr>
                    <a:defRPr>
                      <a:solidFill>
                        <a:srgbClr val="0070C0"/>
                      </a:solidFill>
                      <a:latin typeface="Times New Roman" pitchFamily="18" charset="0"/>
                      <a:cs typeface="Times New Roman" pitchFamily="18" charset="0"/>
                    </a:defRPr>
                  </a:pPr>
                  <a:endParaRPr lang="ru-RU"/>
                </a:p>
              </c:txPr>
              <c:showVal val="1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2.1645021645021651E-2"/>
                  <c:y val="1.8975332068311201E-2"/>
                </c:manualLayout>
              </c:layout>
              <c:spPr/>
              <c:txPr>
                <a:bodyPr/>
                <a:lstStyle/>
                <a:p>
                  <a:pPr>
                    <a:defRPr>
                      <a:solidFill>
                        <a:srgbClr val="0070C0"/>
                      </a:solidFill>
                      <a:latin typeface="Times New Roman" pitchFamily="18" charset="0"/>
                      <a:cs typeface="Times New Roman" pitchFamily="18" charset="0"/>
                    </a:defRPr>
                  </a:pPr>
                  <a:endParaRPr lang="ru-RU"/>
                </a:p>
              </c:txPr>
              <c:showVal val="1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>
                    <a:solidFill>
                      <a:schemeClr val="tx2">
                        <a:lumMod val="60000"/>
                        <a:lumOff val="40000"/>
                      </a:schemeClr>
                    </a:solidFill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Val val="1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налоговые!$B$4:$B$7</c:f>
              <c:strCache>
                <c:ptCount val="4"/>
                <c:pt idx="0">
                  <c:v>НДФЛ</c:v>
                </c:pt>
                <c:pt idx="1">
                  <c:v>налоги на имущество</c:v>
                </c:pt>
                <c:pt idx="2">
                  <c:v>налоги на совокупный доход</c:v>
                </c:pt>
                <c:pt idx="3">
                  <c:v>госпошлина</c:v>
                </c:pt>
              </c:strCache>
            </c:strRef>
          </c:cat>
          <c:val>
            <c:numRef>
              <c:f>налоговые!$C$4:$C$7</c:f>
              <c:numCache>
                <c:formatCode>#,##0.00</c:formatCode>
                <c:ptCount val="4"/>
                <c:pt idx="0">
                  <c:v>647496.44999999937</c:v>
                </c:pt>
                <c:pt idx="1">
                  <c:v>145192.23000000001</c:v>
                </c:pt>
                <c:pt idx="2">
                  <c:v>88897.989999999991</c:v>
                </c:pt>
                <c:pt idx="3">
                  <c:v>12902.04</c:v>
                </c:pt>
              </c:numCache>
            </c:numRef>
          </c:val>
        </c:ser>
        <c:ser>
          <c:idx val="1"/>
          <c:order val="1"/>
          <c:tx>
            <c:strRef>
              <c:f>налоговые!$D$2</c:f>
              <c:strCache>
                <c:ptCount val="1"/>
                <c:pt idx="0">
                  <c:v>2019 год</c:v>
                </c:pt>
              </c:strCache>
            </c:strRef>
          </c:tx>
          <c:spPr>
            <a:solidFill>
              <a:srgbClr val="FF0000"/>
            </a:solidFill>
            <a:ln>
              <a:solidFill>
                <a:srgbClr val="C00000"/>
              </a:solidFill>
            </a:ln>
          </c:spPr>
          <c:dLbls>
            <c:dLbl>
              <c:idx val="0"/>
              <c:layout>
                <c:manualLayout>
                  <c:x val="-8.4944252540641635E-4"/>
                  <c:y val="-1.5812776723592662E-2"/>
                </c:manualLayout>
              </c:layout>
              <c:showVal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layout>
                <c:manualLayout>
                  <c:x val="3.6796536796536793E-2"/>
                  <c:y val="0"/>
                </c:manualLayout>
              </c:layout>
              <c:showVal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>
                <c:manualLayout>
                  <c:x val="2.5974025974026042E-2"/>
                  <c:y val="0"/>
                </c:manualLayout>
              </c:layout>
              <c:showVal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3"/>
              <c:layout>
                <c:manualLayout>
                  <c:x val="2.8138528138528133E-2"/>
                  <c:y val="0"/>
                </c:manualLayout>
              </c:layout>
              <c:showVal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4"/>
              <c:layout>
                <c:manualLayout>
                  <c:x val="1.5151515151515181E-2"/>
                  <c:y val="2.8989755767789104E-17"/>
                </c:manualLayout>
              </c:layout>
              <c:showVal val="1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2.1644961273574216E-2"/>
                  <c:y val="3.3521611751111311E-3"/>
                </c:manualLayout>
              </c:layout>
              <c:showVal val="1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>
                    <a:solidFill>
                      <a:schemeClr val="accent2">
                        <a:lumMod val="75000"/>
                      </a:schemeClr>
                    </a:solidFill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Val val="1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налоговые!$B$4:$B$7</c:f>
              <c:strCache>
                <c:ptCount val="4"/>
                <c:pt idx="0">
                  <c:v>НДФЛ</c:v>
                </c:pt>
                <c:pt idx="1">
                  <c:v>налоги на имущество</c:v>
                </c:pt>
                <c:pt idx="2">
                  <c:v>налоги на совокупный доход</c:v>
                </c:pt>
                <c:pt idx="3">
                  <c:v>госпошлина</c:v>
                </c:pt>
              </c:strCache>
            </c:strRef>
          </c:cat>
          <c:val>
            <c:numRef>
              <c:f>налоговые!$D$4:$D$7</c:f>
              <c:numCache>
                <c:formatCode>#,##0.00</c:formatCode>
                <c:ptCount val="4"/>
                <c:pt idx="0">
                  <c:v>704442.67999999481</c:v>
                </c:pt>
                <c:pt idx="1">
                  <c:v>140889.74000000011</c:v>
                </c:pt>
                <c:pt idx="2">
                  <c:v>102812.29</c:v>
                </c:pt>
                <c:pt idx="3">
                  <c:v>13485.359999999899</c:v>
                </c:pt>
              </c:numCache>
            </c:numRef>
          </c:val>
        </c:ser>
        <c:shape val="box"/>
        <c:axId val="348281856"/>
        <c:axId val="348291840"/>
        <c:axId val="0"/>
      </c:bar3DChart>
      <c:catAx>
        <c:axId val="348281856"/>
        <c:scaling>
          <c:orientation val="minMax"/>
        </c:scaling>
        <c:axPos val="l"/>
        <c:majorGridlines>
          <c:spPr>
            <a:ln>
              <a:solidFill>
                <a:schemeClr val="bg1"/>
              </a:solidFill>
            </a:ln>
          </c:spPr>
        </c:majorGridlines>
        <c:numFmt formatCode="General" sourceLinked="1"/>
        <c:tickLblPos val="nextTo"/>
        <c:txPr>
          <a:bodyPr/>
          <a:lstStyle/>
          <a:p>
            <a:pPr>
              <a:defRPr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348291840"/>
        <c:crosses val="autoZero"/>
        <c:auto val="1"/>
        <c:lblAlgn val="ctr"/>
        <c:lblOffset val="100"/>
      </c:catAx>
      <c:valAx>
        <c:axId val="348291840"/>
        <c:scaling>
          <c:orientation val="minMax"/>
        </c:scaling>
        <c:axPos val="b"/>
        <c:majorGridlines>
          <c:spPr>
            <a:ln>
              <a:solidFill>
                <a:schemeClr val="bg1"/>
              </a:solidFill>
            </a:ln>
          </c:spPr>
        </c:majorGridlines>
        <c:numFmt formatCode="#,##0.00" sourceLinked="1"/>
        <c:tickLblPos val="nextTo"/>
        <c:txPr>
          <a:bodyPr/>
          <a:lstStyle/>
          <a:p>
            <a:pPr>
              <a:defRPr>
                <a:solidFill>
                  <a:schemeClr val="bg1"/>
                </a:solidFill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348281856"/>
        <c:crosses val="autoZero"/>
        <c:crossBetween val="between"/>
      </c:valAx>
    </c:plotArea>
    <c:legend>
      <c:legendPos val="b"/>
      <c:layout>
        <c:manualLayout>
          <c:xMode val="edge"/>
          <c:yMode val="edge"/>
          <c:x val="0.26625762688754817"/>
          <c:y val="0.89891153311718464"/>
          <c:w val="0.41944116658442232"/>
          <c:h val="5.2577632816819361E-2"/>
        </c:manualLayout>
      </c:layout>
      <c:spPr>
        <a:ln>
          <a:solidFill>
            <a:schemeClr val="bg1"/>
          </a:solidFill>
        </a:ln>
      </c:spPr>
      <c:txPr>
        <a:bodyPr/>
        <a:lstStyle/>
        <a:p>
          <a:pPr>
            <a:defRPr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gap"/>
  </c:chart>
  <c:spPr>
    <a:ln>
      <a:noFill/>
    </a:ln>
  </c:spPr>
  <c:externalData r:id="rId2"/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plotArea>
      <c:layout>
        <c:manualLayout>
          <c:layoutTarget val="inner"/>
          <c:xMode val="edge"/>
          <c:yMode val="edge"/>
          <c:x val="0.1179722222222233"/>
          <c:y val="2.6620370370370773E-2"/>
          <c:w val="0.86813888888889601"/>
          <c:h val="0.74252004957713624"/>
        </c:manualLayout>
      </c:layout>
      <c:lineChart>
        <c:grouping val="standard"/>
        <c:ser>
          <c:idx val="0"/>
          <c:order val="0"/>
          <c:marker>
            <c:spPr>
              <a:solidFill>
                <a:srgbClr val="00B0F0"/>
              </a:solidFill>
            </c:spPr>
          </c:marker>
          <c:cat>
            <c:strRef>
              <c:f>НДФЛ!$C$10:$C$21</c:f>
              <c:strCache>
                <c:ptCount val="12"/>
                <c:pt idx="0">
                  <c:v>январь</c:v>
                </c:pt>
                <c:pt idx="1">
                  <c:v>февраль</c:v>
                </c:pt>
                <c:pt idx="2">
                  <c:v>март</c:v>
                </c:pt>
                <c:pt idx="3">
                  <c:v>апрель</c:v>
                </c:pt>
                <c:pt idx="4">
                  <c:v>май</c:v>
                </c:pt>
                <c:pt idx="5">
                  <c:v>июнь</c:v>
                </c:pt>
                <c:pt idx="6">
                  <c:v>июль</c:v>
                </c:pt>
                <c:pt idx="7">
                  <c:v>август</c:v>
                </c:pt>
                <c:pt idx="8">
                  <c:v>сентябрь</c:v>
                </c:pt>
                <c:pt idx="9">
                  <c:v>октябрь</c:v>
                </c:pt>
                <c:pt idx="10">
                  <c:v>ноябрь</c:v>
                </c:pt>
                <c:pt idx="11">
                  <c:v>декабрь</c:v>
                </c:pt>
              </c:strCache>
            </c:strRef>
          </c:cat>
          <c:val>
            <c:numRef>
              <c:f>НДФЛ!$D$10:$D$21</c:f>
              <c:numCache>
                <c:formatCode>#,##0.00</c:formatCode>
                <c:ptCount val="12"/>
                <c:pt idx="0">
                  <c:v>38516.92</c:v>
                </c:pt>
                <c:pt idx="1">
                  <c:v>64657.450000000012</c:v>
                </c:pt>
                <c:pt idx="2">
                  <c:v>52760.65</c:v>
                </c:pt>
                <c:pt idx="3">
                  <c:v>64097.97</c:v>
                </c:pt>
                <c:pt idx="4">
                  <c:v>55316.840000000011</c:v>
                </c:pt>
                <c:pt idx="5">
                  <c:v>48849.59</c:v>
                </c:pt>
                <c:pt idx="6">
                  <c:v>55734.97</c:v>
                </c:pt>
                <c:pt idx="7">
                  <c:v>51837.37</c:v>
                </c:pt>
                <c:pt idx="8">
                  <c:v>51850.02</c:v>
                </c:pt>
                <c:pt idx="9">
                  <c:v>58252.32</c:v>
                </c:pt>
                <c:pt idx="10">
                  <c:v>57889.49</c:v>
                </c:pt>
                <c:pt idx="11">
                  <c:v>104679.09</c:v>
                </c:pt>
              </c:numCache>
            </c:numRef>
          </c:val>
        </c:ser>
        <c:marker val="1"/>
        <c:axId val="355188736"/>
        <c:axId val="355190656"/>
      </c:lineChart>
      <c:catAx>
        <c:axId val="355188736"/>
        <c:scaling>
          <c:orientation val="minMax"/>
        </c:scaling>
        <c:axPos val="b"/>
        <c:majorGridlines>
          <c:spPr>
            <a:ln>
              <a:solidFill>
                <a:schemeClr val="bg1"/>
              </a:solidFill>
            </a:ln>
          </c:spPr>
        </c:majorGridlines>
        <c:numFmt formatCode="General" sourceLinked="0"/>
        <c:tickLblPos val="nextTo"/>
        <c:txPr>
          <a:bodyPr/>
          <a:lstStyle/>
          <a:p>
            <a:pPr>
              <a:defRPr baseline="0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355190656"/>
        <c:crosses val="autoZero"/>
        <c:auto val="1"/>
        <c:lblAlgn val="ctr"/>
        <c:lblOffset val="100"/>
      </c:catAx>
      <c:valAx>
        <c:axId val="355190656"/>
        <c:scaling>
          <c:orientation val="minMax"/>
        </c:scaling>
        <c:axPos val="l"/>
        <c:majorGridlines>
          <c:spPr>
            <a:ln>
              <a:solidFill>
                <a:schemeClr val="bg1">
                  <a:lumMod val="95000"/>
                </a:schemeClr>
              </a:solidFill>
            </a:ln>
          </c:spPr>
        </c:majorGridlines>
        <c:numFmt formatCode="#,##0" sourceLinked="0"/>
        <c:tickLblPos val="nextTo"/>
        <c:txPr>
          <a:bodyPr/>
          <a:lstStyle/>
          <a:p>
            <a:pPr>
              <a:defRPr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355188736"/>
        <c:crosses val="autoZero"/>
        <c:crossBetween val="between"/>
      </c:valAx>
    </c:plotArea>
    <c:plotVisOnly val="1"/>
    <c:dispBlanksAs val="gap"/>
  </c:chart>
  <c:spPr>
    <a:ln>
      <a:noFill/>
    </a:ln>
  </c:spPr>
  <c:externalData r:id="rId2"/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20"/>
  <c:clrMapOvr bg1="lt1" tx1="dk1" bg2="lt2" tx2="dk2" accent1="accent1" accent2="accent2" accent3="accent3" accent4="accent4" accent5="accent5" accent6="accent6" hlink="hlink" folHlink="folHlink"/>
  <c:chart>
    <c:view3D>
      <c:rotX val="0"/>
      <c:rotY val="0"/>
      <c:perspective val="90"/>
    </c:view3D>
    <c:plotArea>
      <c:layout>
        <c:manualLayout>
          <c:layoutTarget val="inner"/>
          <c:xMode val="edge"/>
          <c:yMode val="edge"/>
          <c:x val="0.1630713705734087"/>
          <c:y val="0"/>
          <c:w val="0.76638170228721414"/>
          <c:h val="0.91028685626625438"/>
        </c:manualLayout>
      </c:layout>
      <c:bar3DChart>
        <c:barDir val="bar"/>
        <c:grouping val="clustered"/>
        <c:ser>
          <c:idx val="1"/>
          <c:order val="0"/>
          <c:tx>
            <c:strRef>
              <c:f>[Графики_диаграммы.xlsx]доходы!$D$12</c:f>
              <c:strCache>
                <c:ptCount val="1"/>
                <c:pt idx="0">
                  <c:v>2018 год</c:v>
                </c:pt>
              </c:strCache>
            </c:strRef>
          </c:tx>
          <c:spPr>
            <a:solidFill>
              <a:srgbClr val="FF0000"/>
            </a:solidFill>
          </c:spPr>
          <c:dLbls>
            <c:dLbl>
              <c:idx val="0"/>
              <c:layout>
                <c:manualLayout>
                  <c:x val="-2.1645021645021892E-3"/>
                  <c:y val="1.1415525114155558E-2"/>
                </c:manualLayout>
              </c:layout>
              <c:showVal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layout>
                <c:manualLayout>
                  <c:x val="1.0822510822510827E-2"/>
                  <c:y val="1.9025875190259164E-2"/>
                </c:manualLayout>
              </c:layout>
              <c:showVal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>
                <c:manualLayout>
                  <c:x val="1.2987012987012988E-2"/>
                  <c:y val="1.5220700152207021E-2"/>
                </c:manualLayout>
              </c:layout>
              <c:showVal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3"/>
              <c:layout>
                <c:manualLayout>
                  <c:x val="6.4935064935065963E-3"/>
                  <c:y val="1.9025875190259164E-2"/>
                </c:manualLayout>
              </c:layout>
              <c:showVal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4"/>
              <c:layout>
                <c:manualLayout>
                  <c:x val="1.0822510822510827E-2"/>
                  <c:y val="1.9025875190259202E-2"/>
                </c:manualLayout>
              </c:layout>
              <c:showVal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5"/>
              <c:layout>
                <c:manualLayout>
                  <c:x val="6.4935064935065963E-3"/>
                  <c:y val="2.6636225266362282E-2"/>
                </c:manualLayout>
              </c:layout>
              <c:showVal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>
                    <a:solidFill>
                      <a:srgbClr val="C00000"/>
                    </a:solidFill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Val val="1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[Графики_диаграммы.xlsx]доходы!$B$15:$B$20</c:f>
              <c:strCache>
                <c:ptCount val="6"/>
                <c:pt idx="0">
                  <c:v>Доходы от использования имущества</c:v>
                </c:pt>
                <c:pt idx="1">
                  <c:v>Платежи при пользовании природными ресурсами</c:v>
                </c:pt>
                <c:pt idx="2">
                  <c:v>Доходы от оказания платных услуг и компенсация затрат государства</c:v>
                </c:pt>
                <c:pt idx="3">
                  <c:v>Доходы от продажи материальных и нематериальных активов</c:v>
                </c:pt>
                <c:pt idx="4">
                  <c:v>Штрафы, санкции,          возмещение ущерба</c:v>
                </c:pt>
                <c:pt idx="5">
                  <c:v>Прочие </c:v>
                </c:pt>
              </c:strCache>
            </c:strRef>
          </c:cat>
          <c:val>
            <c:numRef>
              <c:f>[Графики_диаграммы.xlsx]доходы!$D$15:$D$20</c:f>
              <c:numCache>
                <c:formatCode>#,##0.00</c:formatCode>
                <c:ptCount val="6"/>
                <c:pt idx="0">
                  <c:v>88286.459999999992</c:v>
                </c:pt>
                <c:pt idx="1">
                  <c:v>12956.710000000006</c:v>
                </c:pt>
                <c:pt idx="2">
                  <c:v>9029.4599999998863</c:v>
                </c:pt>
                <c:pt idx="3">
                  <c:v>65870.709999999992</c:v>
                </c:pt>
                <c:pt idx="4">
                  <c:v>15610.18</c:v>
                </c:pt>
                <c:pt idx="5">
                  <c:v>6377.68</c:v>
                </c:pt>
              </c:numCache>
            </c:numRef>
          </c:val>
        </c:ser>
        <c:ser>
          <c:idx val="2"/>
          <c:order val="1"/>
          <c:tx>
            <c:strRef>
              <c:f>[Графики_диаграммы.xlsx]доходы!$E$12</c:f>
              <c:strCache>
                <c:ptCount val="1"/>
                <c:pt idx="0">
                  <c:v>2019 год</c:v>
                </c:pt>
              </c:strCache>
            </c:strRef>
          </c:tx>
          <c:spPr>
            <a:solidFill>
              <a:schemeClr val="accent1">
                <a:lumMod val="75000"/>
              </a:schemeClr>
            </a:solidFill>
          </c:spPr>
          <c:dLbls>
            <c:dLbl>
              <c:idx val="0"/>
              <c:layout>
                <c:manualLayout>
                  <c:x val="0"/>
                  <c:y val="-6.0882800608828114E-2"/>
                </c:manualLayout>
              </c:layout>
              <c:showVal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layout>
                <c:manualLayout>
                  <c:x val="6.4935064935066518E-3"/>
                  <c:y val="-2.2831050228311132E-2"/>
                </c:manualLayout>
              </c:layout>
              <c:showVal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>
                <c:manualLayout>
                  <c:x val="1.5135135135135151E-2"/>
                  <c:y val="-2.9556650246305508E-2"/>
                </c:manualLayout>
              </c:layout>
              <c:showVal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3"/>
              <c:layout>
                <c:manualLayout>
                  <c:x val="4.3243243243243296E-3"/>
                  <c:y val="-2.4630541871921242E-2"/>
                </c:manualLayout>
              </c:layout>
              <c:showVal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4"/>
              <c:layout>
                <c:manualLayout>
                  <c:x val="6.4864864864864914E-3"/>
                  <c:y val="-1.9704433497536974E-2"/>
                </c:manualLayout>
              </c:layout>
              <c:showVal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solidFill>
                <a:sysClr val="window" lastClr="FFFFFF"/>
              </a:solidFill>
            </c:spPr>
            <c:txPr>
              <a:bodyPr/>
              <a:lstStyle/>
              <a:p>
                <a:pPr>
                  <a:defRPr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Val val="1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[Графики_диаграммы.xlsx]доходы!$B$15:$B$20</c:f>
              <c:strCache>
                <c:ptCount val="6"/>
                <c:pt idx="0">
                  <c:v>Доходы от использования имущества</c:v>
                </c:pt>
                <c:pt idx="1">
                  <c:v>Платежи при пользовании природными ресурсами</c:v>
                </c:pt>
                <c:pt idx="2">
                  <c:v>Доходы от оказания платных услуг и компенсация затрат государства</c:v>
                </c:pt>
                <c:pt idx="3">
                  <c:v>Доходы от продажи материальных и нематериальных активов</c:v>
                </c:pt>
                <c:pt idx="4">
                  <c:v>Штрафы, санкции,          возмещение ущерба</c:v>
                </c:pt>
                <c:pt idx="5">
                  <c:v>Прочие </c:v>
                </c:pt>
              </c:strCache>
            </c:strRef>
          </c:cat>
          <c:val>
            <c:numRef>
              <c:f>[Графики_диаграммы.xlsx]доходы!$E$15:$E$20</c:f>
              <c:numCache>
                <c:formatCode>#,##0.00</c:formatCode>
                <c:ptCount val="6"/>
                <c:pt idx="0">
                  <c:v>90197.79</c:v>
                </c:pt>
                <c:pt idx="1">
                  <c:v>19568.560000000001</c:v>
                </c:pt>
                <c:pt idx="2">
                  <c:v>7956.02</c:v>
                </c:pt>
                <c:pt idx="3">
                  <c:v>20510.460000000021</c:v>
                </c:pt>
                <c:pt idx="4">
                  <c:v>12368.61</c:v>
                </c:pt>
                <c:pt idx="5">
                  <c:v>9954.4599999998863</c:v>
                </c:pt>
              </c:numCache>
            </c:numRef>
          </c:val>
        </c:ser>
        <c:shape val="box"/>
        <c:axId val="354896512"/>
        <c:axId val="363880832"/>
        <c:axId val="0"/>
      </c:bar3DChart>
      <c:catAx>
        <c:axId val="354896512"/>
        <c:scaling>
          <c:orientation val="minMax"/>
        </c:scaling>
        <c:axPos val="l"/>
        <c:majorGridlines>
          <c:spPr>
            <a:ln>
              <a:solidFill>
                <a:schemeClr val="bg1"/>
              </a:solidFill>
            </a:ln>
          </c:spPr>
        </c:majorGridlines>
        <c:numFmt formatCode="General" sourceLinked="1"/>
        <c:tickLblPos val="nextTo"/>
        <c:txPr>
          <a:bodyPr/>
          <a:lstStyle/>
          <a:p>
            <a:pPr>
              <a:defRPr sz="700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363880832"/>
        <c:crosses val="autoZero"/>
        <c:auto val="1"/>
        <c:lblAlgn val="ctr"/>
        <c:lblOffset val="100"/>
      </c:catAx>
      <c:valAx>
        <c:axId val="363880832"/>
        <c:scaling>
          <c:orientation val="minMax"/>
        </c:scaling>
        <c:axPos val="b"/>
        <c:majorGridlines>
          <c:spPr>
            <a:ln>
              <a:solidFill>
                <a:schemeClr val="bg1"/>
              </a:solidFill>
            </a:ln>
          </c:spPr>
        </c:majorGridlines>
        <c:numFmt formatCode="#,##0.00" sourceLinked="1"/>
        <c:tickLblPos val="nextTo"/>
        <c:txPr>
          <a:bodyPr/>
          <a:lstStyle/>
          <a:p>
            <a:pPr>
              <a:defRPr sz="800">
                <a:solidFill>
                  <a:schemeClr val="bg1"/>
                </a:solidFill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354896512"/>
        <c:crosses val="autoZero"/>
        <c:crossBetween val="between"/>
      </c:valAx>
    </c:plotArea>
    <c:legend>
      <c:legendPos val="b"/>
      <c:layout>
        <c:manualLayout>
          <c:xMode val="edge"/>
          <c:yMode val="edge"/>
          <c:x val="0.38530524593517373"/>
          <c:y val="0.91261730126199958"/>
          <c:w val="0.24849081364829628"/>
          <c:h val="6.880865063099989E-2"/>
        </c:manualLayout>
      </c:layout>
      <c:txPr>
        <a:bodyPr/>
        <a:lstStyle/>
        <a:p>
          <a:pPr>
            <a:defRPr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gap"/>
  </c:chart>
  <c:spPr>
    <a:ln>
      <a:noFill/>
    </a:ln>
  </c:spPr>
  <c:externalData r:id="rId2"/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plotArea>
      <c:layout>
        <c:manualLayout>
          <c:layoutTarget val="inner"/>
          <c:xMode val="edge"/>
          <c:yMode val="edge"/>
          <c:x val="9.6537082960845531E-3"/>
          <c:y val="0.10385552103022319"/>
          <c:w val="0.48222564600151963"/>
          <c:h val="0.85452411185011179"/>
        </c:manualLayout>
      </c:layout>
      <c:doughnutChart>
        <c:varyColors val="1"/>
        <c:ser>
          <c:idx val="0"/>
          <c:order val="0"/>
          <c:tx>
            <c:strRef>
              <c:f>'структура расходов'!$B$2:$B$11</c:f>
              <c:strCache>
                <c:ptCount val="1"/>
                <c:pt idx="0">
                  <c:v>Общегосударственные вопросы  Национальная безопасность  Национальная экономика  ЖКХ  Охрана окружающей среды  Образование Культура Социальная политика  Физкультура и спорт  Обслуживание муниципального долга </c:v>
                </c:pt>
              </c:strCache>
            </c:strRef>
          </c:tx>
          <c:spPr>
            <a:scene3d>
              <a:camera prst="orthographicFront"/>
              <a:lightRig rig="threePt" dir="t"/>
            </a:scene3d>
            <a:sp3d>
              <a:bevelT w="177800"/>
            </a:sp3d>
          </c:spPr>
          <c:explosion val="25"/>
          <c:dPt>
            <c:idx val="2"/>
            <c:spPr>
              <a:solidFill>
                <a:srgbClr val="996600"/>
              </a:solidFill>
              <a:scene3d>
                <a:camera prst="orthographicFront"/>
                <a:lightRig rig="threePt" dir="t"/>
              </a:scene3d>
              <a:sp3d>
                <a:bevelT w="177800"/>
              </a:sp3d>
            </c:spPr>
          </c:dPt>
          <c:dPt>
            <c:idx val="5"/>
            <c:spPr>
              <a:solidFill>
                <a:schemeClr val="accent6">
                  <a:lumMod val="75000"/>
                </a:schemeClr>
              </a:solidFill>
              <a:scene3d>
                <a:camera prst="orthographicFront"/>
                <a:lightRig rig="threePt" dir="t"/>
              </a:scene3d>
              <a:sp3d>
                <a:bevelT w="177800"/>
              </a:sp3d>
            </c:spPr>
          </c:dPt>
          <c:dPt>
            <c:idx val="6"/>
            <c:spPr>
              <a:solidFill>
                <a:srgbClr val="009900"/>
              </a:solidFill>
              <a:scene3d>
                <a:camera prst="orthographicFront"/>
                <a:lightRig rig="threePt" dir="t"/>
              </a:scene3d>
              <a:sp3d>
                <a:bevelT w="177800"/>
              </a:sp3d>
            </c:spPr>
          </c:dPt>
          <c:dPt>
            <c:idx val="7"/>
            <c:spPr>
              <a:solidFill>
                <a:srgbClr val="C00000"/>
              </a:solidFill>
              <a:scene3d>
                <a:camera prst="orthographicFront"/>
                <a:lightRig rig="threePt" dir="t"/>
              </a:scene3d>
              <a:sp3d>
                <a:bevelT w="177800"/>
              </a:sp3d>
            </c:spPr>
          </c:dPt>
          <c:dLbls>
            <c:dLbl>
              <c:idx val="0"/>
              <c:layout>
                <c:manualLayout>
                  <c:x val="1.5467904098994586E-2"/>
                  <c:y val="-0.11268463529770061"/>
                </c:manualLayout>
              </c:layout>
              <c:showPercent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layout>
                <c:manualLayout>
                  <c:x val="3.9529088252986164E-2"/>
                  <c:y val="-0.10659357393026025"/>
                </c:manualLayout>
              </c:layout>
              <c:showPercent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>
                <c:manualLayout>
                  <c:x val="6.0152960384978964E-2"/>
                  <c:y val="-8.2229328460484266E-2"/>
                </c:manualLayout>
              </c:layout>
              <c:showPercent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3"/>
              <c:layout>
                <c:manualLayout>
                  <c:x val="6.8746240439975959E-2"/>
                  <c:y val="-1.2182122734886561E-2"/>
                </c:manualLayout>
              </c:layout>
              <c:showPercent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4"/>
              <c:delete val="1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-9.9682048637965107E-2"/>
                  <c:y val="5.7865082990711934E-2"/>
                </c:manualLayout>
              </c:layout>
              <c:showPercent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6"/>
              <c:layout>
                <c:manualLayout>
                  <c:x val="-4.9841024318982553E-2"/>
                  <c:y val="-9.7456981879092505E-2"/>
                </c:manualLayout>
              </c:layout>
              <c:showPercent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7"/>
              <c:layout>
                <c:manualLayout>
                  <c:x val="-2.4061184153991579E-2"/>
                  <c:y val="-0.11268487510326625"/>
                </c:manualLayout>
              </c:layout>
              <c:showPercent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8"/>
              <c:layout>
                <c:manualLayout>
                  <c:x val="-1.7186560109993681E-3"/>
                  <c:y val="-0.12486699783815312"/>
                </c:manualLayout>
              </c:layout>
              <c:showPercent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9"/>
              <c:delete val="1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200" b="1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Percent val="1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'структура расходов'!$B$2:$B$11</c:f>
              <c:strCache>
                <c:ptCount val="10"/>
                <c:pt idx="0">
                  <c:v>Общегосударственные вопросы </c:v>
                </c:pt>
                <c:pt idx="1">
                  <c:v>Национальная безопасность </c:v>
                </c:pt>
                <c:pt idx="2">
                  <c:v>Национальная экономика </c:v>
                </c:pt>
                <c:pt idx="3">
                  <c:v>ЖКХ </c:v>
                </c:pt>
                <c:pt idx="4">
                  <c:v>Охрана окружающей среды </c:v>
                </c:pt>
                <c:pt idx="5">
                  <c:v>Образование</c:v>
                </c:pt>
                <c:pt idx="6">
                  <c:v>Культура</c:v>
                </c:pt>
                <c:pt idx="7">
                  <c:v>Социальная политика </c:v>
                </c:pt>
                <c:pt idx="8">
                  <c:v>Физкультура и спорт </c:v>
                </c:pt>
                <c:pt idx="9">
                  <c:v>Обслуживание муниципального долга </c:v>
                </c:pt>
              </c:strCache>
            </c:strRef>
          </c:cat>
          <c:val>
            <c:numRef>
              <c:f>'структура расходов'!$D$2:$D$11</c:f>
              <c:numCache>
                <c:formatCode>#,##0.00</c:formatCode>
                <c:ptCount val="10"/>
                <c:pt idx="0">
                  <c:v>338.81</c:v>
                </c:pt>
                <c:pt idx="1">
                  <c:v>25.439999999999987</c:v>
                </c:pt>
                <c:pt idx="2">
                  <c:v>546.52</c:v>
                </c:pt>
                <c:pt idx="3">
                  <c:v>372.2</c:v>
                </c:pt>
                <c:pt idx="4">
                  <c:v>0.22</c:v>
                </c:pt>
                <c:pt idx="5">
                  <c:v>2581.7599999999998</c:v>
                </c:pt>
                <c:pt idx="6">
                  <c:v>455.71</c:v>
                </c:pt>
                <c:pt idx="7">
                  <c:v>124.7</c:v>
                </c:pt>
                <c:pt idx="8">
                  <c:v>148.34</c:v>
                </c:pt>
                <c:pt idx="9">
                  <c:v>10.44</c:v>
                </c:pt>
              </c:numCache>
            </c:numRef>
          </c:val>
        </c:ser>
        <c:firstSliceAng val="0"/>
        <c:holeSize val="50"/>
      </c:doughnutChart>
      <c:spPr>
        <a:effectLst>
          <a:outerShdw blurRad="152400" dist="317500" dir="5400000" sx="90000" sy="-19000" rotWithShape="0">
            <a:prstClr val="black">
              <a:alpha val="15000"/>
            </a:prstClr>
          </a:outerShdw>
        </a:effectLst>
      </c:spPr>
    </c:plotArea>
    <c:legend>
      <c:legendPos val="r"/>
      <c:layout>
        <c:manualLayout>
          <c:xMode val="edge"/>
          <c:yMode val="edge"/>
          <c:x val="0.55756212721805998"/>
          <c:y val="6.3022560091172811E-2"/>
          <c:w val="0.41249988614184852"/>
          <c:h val="0.86586379763288934"/>
        </c:manualLayout>
      </c:layout>
      <c:txPr>
        <a:bodyPr/>
        <a:lstStyle/>
        <a:p>
          <a:pPr rtl="0">
            <a:defRPr sz="120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zero"/>
  </c:chart>
  <c:spPr>
    <a:noFill/>
    <a:ln>
      <a:noFill/>
    </a:ln>
  </c:spPr>
  <c:externalData r:id="rId1"/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view3D>
      <c:rAngAx val="1"/>
    </c:view3D>
    <c:plotArea>
      <c:layout/>
      <c:bar3DChart>
        <c:barDir val="col"/>
        <c:grouping val="clustered"/>
        <c:ser>
          <c:idx val="0"/>
          <c:order val="0"/>
          <c:tx>
            <c:strRef>
              <c:f>'структура расходов'!$E$22</c:f>
              <c:strCache>
                <c:ptCount val="1"/>
                <c:pt idx="0">
                  <c:v>2018 год</c:v>
                </c:pt>
              </c:strCache>
            </c:strRef>
          </c:tx>
          <c:cat>
            <c:strRef>
              <c:f>'структура расходов'!$B$23:$B$31</c:f>
              <c:strCache>
                <c:ptCount val="9"/>
                <c:pt idx="0">
                  <c:v>Культура</c:v>
                </c:pt>
                <c:pt idx="1">
                  <c:v>Нац.экономика </c:v>
                </c:pt>
                <c:pt idx="2">
                  <c:v>Обслуживание мун.долга </c:v>
                </c:pt>
                <c:pt idx="3">
                  <c:v>Соц.политика </c:v>
                </c:pt>
                <c:pt idx="4">
                  <c:v>ЖКХ </c:v>
                </c:pt>
                <c:pt idx="5">
                  <c:v>Образование</c:v>
                </c:pt>
                <c:pt idx="6">
                  <c:v>Общегос.вопросы </c:v>
                </c:pt>
                <c:pt idx="7">
                  <c:v>Нац.безопасность </c:v>
                </c:pt>
                <c:pt idx="8">
                  <c:v>Физкультура и спорт </c:v>
                </c:pt>
              </c:strCache>
            </c:strRef>
          </c:cat>
          <c:val>
            <c:numRef>
              <c:f>'структура расходов'!$E$23:$E$31</c:f>
              <c:numCache>
                <c:formatCode>#,##0.0</c:formatCode>
                <c:ptCount val="9"/>
                <c:pt idx="0">
                  <c:v>384.18</c:v>
                </c:pt>
                <c:pt idx="1">
                  <c:v>467.78999999999957</c:v>
                </c:pt>
                <c:pt idx="2">
                  <c:v>8.67</c:v>
                </c:pt>
                <c:pt idx="3">
                  <c:v>126.84</c:v>
                </c:pt>
                <c:pt idx="4">
                  <c:v>256.83999999999969</c:v>
                </c:pt>
                <c:pt idx="5">
                  <c:v>2569.9699999999998</c:v>
                </c:pt>
                <c:pt idx="6">
                  <c:v>323.24</c:v>
                </c:pt>
                <c:pt idx="7">
                  <c:v>25.56</c:v>
                </c:pt>
                <c:pt idx="8">
                  <c:v>102.99000000000002</c:v>
                </c:pt>
              </c:numCache>
            </c:numRef>
          </c:val>
        </c:ser>
        <c:ser>
          <c:idx val="1"/>
          <c:order val="1"/>
          <c:tx>
            <c:strRef>
              <c:f>'структура расходов'!$F$22</c:f>
              <c:strCache>
                <c:ptCount val="1"/>
                <c:pt idx="0">
                  <c:v>2019 год</c:v>
                </c:pt>
              </c:strCache>
            </c:strRef>
          </c:tx>
          <c:cat>
            <c:strRef>
              <c:f>'структура расходов'!$B$23:$B$31</c:f>
              <c:strCache>
                <c:ptCount val="9"/>
                <c:pt idx="0">
                  <c:v>Культура</c:v>
                </c:pt>
                <c:pt idx="1">
                  <c:v>Нац.экономика </c:v>
                </c:pt>
                <c:pt idx="2">
                  <c:v>Обслуживание мун.долга </c:v>
                </c:pt>
                <c:pt idx="3">
                  <c:v>Соц.политика </c:v>
                </c:pt>
                <c:pt idx="4">
                  <c:v>ЖКХ </c:v>
                </c:pt>
                <c:pt idx="5">
                  <c:v>Образование</c:v>
                </c:pt>
                <c:pt idx="6">
                  <c:v>Общегос.вопросы </c:v>
                </c:pt>
                <c:pt idx="7">
                  <c:v>Нац.безопасность </c:v>
                </c:pt>
                <c:pt idx="8">
                  <c:v>Физкультура и спорт </c:v>
                </c:pt>
              </c:strCache>
            </c:strRef>
          </c:cat>
          <c:val>
            <c:numRef>
              <c:f>'структура расходов'!$F$23:$F$31</c:f>
              <c:numCache>
                <c:formatCode>#,##0.0</c:formatCode>
                <c:ptCount val="9"/>
                <c:pt idx="0">
                  <c:v>455.71</c:v>
                </c:pt>
                <c:pt idx="1">
                  <c:v>546.52</c:v>
                </c:pt>
                <c:pt idx="2">
                  <c:v>10.44</c:v>
                </c:pt>
                <c:pt idx="3">
                  <c:v>124.7</c:v>
                </c:pt>
                <c:pt idx="4">
                  <c:v>372.2</c:v>
                </c:pt>
                <c:pt idx="5">
                  <c:v>2581.7599999999998</c:v>
                </c:pt>
                <c:pt idx="6">
                  <c:v>338.81</c:v>
                </c:pt>
                <c:pt idx="7">
                  <c:v>25.439999999999987</c:v>
                </c:pt>
                <c:pt idx="8">
                  <c:v>148.34</c:v>
                </c:pt>
              </c:numCache>
            </c:numRef>
          </c:val>
        </c:ser>
        <c:shape val="box"/>
        <c:axId val="363929984"/>
        <c:axId val="363931520"/>
        <c:axId val="0"/>
      </c:bar3DChart>
      <c:catAx>
        <c:axId val="363929984"/>
        <c:scaling>
          <c:orientation val="minMax"/>
        </c:scaling>
        <c:axPos val="b"/>
        <c:numFmt formatCode="General" sourceLinked="0"/>
        <c:tickLblPos val="nextTo"/>
        <c:txPr>
          <a:bodyPr/>
          <a:lstStyle/>
          <a:p>
            <a:pPr>
              <a:defRPr sz="800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363931520"/>
        <c:crosses val="autoZero"/>
        <c:auto val="1"/>
        <c:lblAlgn val="ctr"/>
        <c:lblOffset val="100"/>
      </c:catAx>
      <c:valAx>
        <c:axId val="363931520"/>
        <c:scaling>
          <c:orientation val="minMax"/>
        </c:scaling>
        <c:axPos val="l"/>
        <c:majorGridlines>
          <c:spPr>
            <a:ln>
              <a:solidFill>
                <a:schemeClr val="bg1">
                  <a:lumMod val="85000"/>
                </a:schemeClr>
              </a:solidFill>
            </a:ln>
          </c:spPr>
        </c:majorGridlines>
        <c:numFmt formatCode="#,##0.0" sourceLinked="1"/>
        <c:tickLblPos val="nextTo"/>
        <c:spPr>
          <a:ln>
            <a:solidFill>
              <a:schemeClr val="bg1">
                <a:lumMod val="85000"/>
              </a:schemeClr>
            </a:solidFill>
          </a:ln>
        </c:spPr>
        <c:txPr>
          <a:bodyPr/>
          <a:lstStyle/>
          <a:p>
            <a:pPr>
              <a:defRPr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363929984"/>
        <c:crosses val="autoZero"/>
        <c:crossBetween val="between"/>
      </c:valAx>
      <c:spPr>
        <a:ln>
          <a:noFill/>
        </a:ln>
      </c:spPr>
    </c:plotArea>
    <c:legend>
      <c:legendPos val="r"/>
      <c:layout>
        <c:manualLayout>
          <c:xMode val="edge"/>
          <c:yMode val="edge"/>
          <c:x val="0.88320828728645751"/>
          <c:y val="0.18323211496369796"/>
          <c:w val="9.6230775429387128E-2"/>
          <c:h val="0.25305083614172424"/>
        </c:manualLayout>
      </c:layout>
      <c:txPr>
        <a:bodyPr/>
        <a:lstStyle/>
        <a:p>
          <a:pPr>
            <a:defRPr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gap"/>
  </c:chart>
  <c:spPr>
    <a:ln>
      <a:noFill/>
    </a:ln>
  </c:spPr>
  <c:externalData r:id="rId1"/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chart>
    <c:view3D>
      <c:rotX val="30"/>
      <c:perspective val="30"/>
    </c:view3D>
    <c:plotArea>
      <c:layout>
        <c:manualLayout>
          <c:layoutTarget val="inner"/>
          <c:xMode val="edge"/>
          <c:yMode val="edge"/>
          <c:x val="0.2240859719662702"/>
          <c:y val="1.709626722191638E-3"/>
          <c:w val="0.59835839950820657"/>
          <c:h val="0.86300484607992956"/>
        </c:manualLayout>
      </c:layout>
      <c:pie3DChart>
        <c:varyColors val="1"/>
        <c:ser>
          <c:idx val="0"/>
          <c:order val="0"/>
          <c:spPr>
            <a:scene3d>
              <a:camera prst="orthographicFront"/>
              <a:lightRig rig="threePt" dir="t"/>
            </a:scene3d>
            <a:sp3d>
              <a:bevelT w="101600" prst="riblet"/>
            </a:sp3d>
          </c:spPr>
          <c:explosion val="25"/>
          <c:dPt>
            <c:idx val="2"/>
            <c:spPr>
              <a:solidFill>
                <a:srgbClr val="92D050"/>
              </a:solidFill>
              <a:scene3d>
                <a:camera prst="orthographicFront"/>
                <a:lightRig rig="threePt" dir="t"/>
              </a:scene3d>
              <a:sp3d>
                <a:bevelT w="101600" prst="riblet"/>
              </a:sp3d>
            </c:spPr>
          </c:dPt>
          <c:dPt>
            <c:idx val="3"/>
            <c:spPr>
              <a:solidFill>
                <a:srgbClr val="FF0000"/>
              </a:solidFill>
              <a:scene3d>
                <a:camera prst="orthographicFront"/>
                <a:lightRig rig="threePt" dir="t"/>
              </a:scene3d>
              <a:sp3d>
                <a:bevelT w="101600" prst="riblet"/>
              </a:sp3d>
            </c:spPr>
          </c:dPt>
          <c:dPt>
            <c:idx val="6"/>
            <c:spPr>
              <a:solidFill>
                <a:srgbClr val="FFE38B"/>
              </a:solidFill>
              <a:scene3d>
                <a:camera prst="orthographicFront"/>
                <a:lightRig rig="threePt" dir="t"/>
              </a:scene3d>
              <a:sp3d>
                <a:bevelT w="101600" prst="riblet"/>
              </a:sp3d>
            </c:spPr>
          </c:dPt>
          <c:dLbls>
            <c:dLbl>
              <c:idx val="0"/>
              <c:layout>
                <c:manualLayout>
                  <c:x val="-1.8371237596614482E-2"/>
                  <c:y val="-2.6974380068163557E-2"/>
                </c:manualLayout>
              </c:layout>
              <c:showPercent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layout>
                <c:manualLayout>
                  <c:x val="0.32421497179874059"/>
                  <c:y val="-8.0743763412552155E-2"/>
                </c:manualLayout>
              </c:layout>
              <c:showPercent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>
                <c:manualLayout>
                  <c:x val="-4.9258669793935334E-3"/>
                  <c:y val="-6.6505516597659256E-2"/>
                </c:manualLayout>
              </c:layout>
              <c:showPercent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3"/>
              <c:layout>
                <c:manualLayout>
                  <c:x val="-9.8782598983638281E-3"/>
                  <c:y val="-2.2628820333628508E-2"/>
                </c:manualLayout>
              </c:layout>
              <c:showPercent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4"/>
              <c:layout>
                <c:manualLayout>
                  <c:x val="2.0606347498284609E-2"/>
                  <c:y val="-1.8835693579347359E-2"/>
                </c:manualLayout>
              </c:layout>
              <c:showPercent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5"/>
              <c:layout>
                <c:manualLayout>
                  <c:x val="2.1641676439381252E-2"/>
                  <c:y val="-1.4107836263617909E-2"/>
                </c:manualLayout>
              </c:layout>
              <c:showPercent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6"/>
              <c:layout>
                <c:manualLayout>
                  <c:x val="3.4416139835345805E-2"/>
                  <c:y val="-3.8292788028362152E-3"/>
                </c:manualLayout>
              </c:layout>
              <c:showPercent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numFmt formatCode="0.0%" sourceLinked="0"/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200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Percent val="1"/>
            <c:showLeaderLines val="1"/>
            <c:extLst>
              <c:ext xmlns:c15="http://schemas.microsoft.com/office/drawing/2012/chart" uri="{CE6537A1-D6FC-4f65-9D91-7224C49458BB}">
                <c15:layout/>
              </c:ext>
            </c:extLst>
          </c:dLbls>
          <c:cat>
            <c:strRef>
              <c:f>мунзад!$B$4:$B$11</c:f>
              <c:strCache>
                <c:ptCount val="8"/>
                <c:pt idx="0">
                  <c:v>Учреждения дошкольного образования</c:v>
                </c:pt>
                <c:pt idx="1">
                  <c:v>Общеобразовательные учреждения</c:v>
                </c:pt>
                <c:pt idx="2">
                  <c:v>Учреждения доп.образования детей спортивной направленности</c:v>
                </c:pt>
                <c:pt idx="3">
                  <c:v>Учреждения доп.образования детей эстетической и общей направленности</c:v>
                </c:pt>
                <c:pt idx="4">
                  <c:v>Учреждения культуры</c:v>
                </c:pt>
                <c:pt idx="5">
                  <c:v>МБЭУ</c:v>
                </c:pt>
                <c:pt idx="6">
                  <c:v>Оздоровительные лагеря</c:v>
                </c:pt>
                <c:pt idx="7">
                  <c:v>Прочие учреждения</c:v>
                </c:pt>
              </c:strCache>
            </c:strRef>
          </c:cat>
          <c:val>
            <c:numRef>
              <c:f>мунзад!$C$4:$C$11</c:f>
              <c:numCache>
                <c:formatCode>General</c:formatCode>
                <c:ptCount val="8"/>
                <c:pt idx="0">
                  <c:v>905612.75</c:v>
                </c:pt>
                <c:pt idx="1">
                  <c:v>870275.61</c:v>
                </c:pt>
                <c:pt idx="2">
                  <c:v>251503.26</c:v>
                </c:pt>
                <c:pt idx="3">
                  <c:v>89441.709999999992</c:v>
                </c:pt>
                <c:pt idx="4">
                  <c:v>190414.41999999998</c:v>
                </c:pt>
                <c:pt idx="5">
                  <c:v>152849.84999999998</c:v>
                </c:pt>
                <c:pt idx="6">
                  <c:v>61394.71</c:v>
                </c:pt>
                <c:pt idx="7">
                  <c:v>28634.18</c:v>
                </c:pt>
              </c:numCache>
            </c:numRef>
          </c:val>
        </c:ser>
      </c:pie3DChart>
    </c:plotArea>
    <c:legend>
      <c:legendPos val="b"/>
      <c:layout>
        <c:manualLayout>
          <c:xMode val="edge"/>
          <c:yMode val="edge"/>
          <c:x val="0"/>
          <c:y val="0.69783108542512085"/>
          <c:w val="0.88758608314294285"/>
          <c:h val="0.30216891457487943"/>
        </c:manualLayout>
      </c:layout>
      <c:txPr>
        <a:bodyPr/>
        <a:lstStyle/>
        <a:p>
          <a:pPr rtl="0">
            <a:defRPr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zero"/>
  </c:chart>
  <c:spPr>
    <a:ln>
      <a:noFill/>
    </a:ln>
  </c:spPr>
  <c:externalData r:id="rId1"/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view3D>
      <c:rAngAx val="1"/>
    </c:view3D>
    <c:plotArea>
      <c:layout/>
      <c:bar3DChart>
        <c:barDir val="col"/>
        <c:grouping val="stacked"/>
        <c:ser>
          <c:idx val="0"/>
          <c:order val="0"/>
          <c:tx>
            <c:v>Коммерческий кредит</c:v>
          </c:tx>
          <c:cat>
            <c:strRef>
              <c:f>Лист1!$B$7:$B$10</c:f>
              <c:strCache>
                <c:ptCount val="4"/>
                <c:pt idx="0">
                  <c:v>На 01.01.2017</c:v>
                </c:pt>
                <c:pt idx="1">
                  <c:v>На 01.01.2018</c:v>
                </c:pt>
                <c:pt idx="2">
                  <c:v>На 01.01.2019</c:v>
                </c:pt>
                <c:pt idx="3">
                  <c:v>На 01.01.2020</c:v>
                </c:pt>
              </c:strCache>
            </c:strRef>
          </c:cat>
          <c:val>
            <c:numRef>
              <c:f>Лист1!$C$7:$C$10</c:f>
              <c:numCache>
                <c:formatCode>#,##0.00</c:formatCode>
                <c:ptCount val="4"/>
                <c:pt idx="0">
                  <c:v>20000</c:v>
                </c:pt>
                <c:pt idx="1">
                  <c:v>81517.850000000006</c:v>
                </c:pt>
                <c:pt idx="2">
                  <c:v>48518</c:v>
                </c:pt>
                <c:pt idx="3">
                  <c:v>188441.93</c:v>
                </c:pt>
              </c:numCache>
            </c:numRef>
          </c:val>
        </c:ser>
        <c:ser>
          <c:idx val="1"/>
          <c:order val="1"/>
          <c:tx>
            <c:v>Бюджетный кредит </c:v>
          </c:tx>
          <c:cat>
            <c:strRef>
              <c:f>Лист1!$B$7:$B$10</c:f>
              <c:strCache>
                <c:ptCount val="4"/>
                <c:pt idx="0">
                  <c:v>На 01.01.2017</c:v>
                </c:pt>
                <c:pt idx="1">
                  <c:v>На 01.01.2018</c:v>
                </c:pt>
                <c:pt idx="2">
                  <c:v>На 01.01.2019</c:v>
                </c:pt>
                <c:pt idx="3">
                  <c:v>На 01.01.2020</c:v>
                </c:pt>
              </c:strCache>
            </c:strRef>
          </c:cat>
          <c:val>
            <c:numRef>
              <c:f>Лист1!$D$7:$D$10</c:f>
              <c:numCache>
                <c:formatCode>#,##0.00</c:formatCode>
                <c:ptCount val="4"/>
                <c:pt idx="0">
                  <c:v>71100</c:v>
                </c:pt>
                <c:pt idx="1">
                  <c:v>47400</c:v>
                </c:pt>
                <c:pt idx="2">
                  <c:v>116480</c:v>
                </c:pt>
              </c:numCache>
            </c:numRef>
          </c:val>
        </c:ser>
        <c:shape val="box"/>
        <c:axId val="363824640"/>
        <c:axId val="363826176"/>
        <c:axId val="0"/>
      </c:bar3DChart>
      <c:catAx>
        <c:axId val="363824640"/>
        <c:scaling>
          <c:orientation val="minMax"/>
        </c:scaling>
        <c:axPos val="b"/>
        <c:numFmt formatCode="General" sourceLinked="0"/>
        <c:tickLblPos val="nextTo"/>
        <c:txPr>
          <a:bodyPr/>
          <a:lstStyle/>
          <a:p>
            <a:pPr>
              <a:defRPr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363826176"/>
        <c:crosses val="autoZero"/>
        <c:auto val="1"/>
        <c:lblAlgn val="ctr"/>
        <c:lblOffset val="100"/>
      </c:catAx>
      <c:valAx>
        <c:axId val="363826176"/>
        <c:scaling>
          <c:orientation val="minMax"/>
        </c:scaling>
        <c:axPos val="l"/>
        <c:majorGridlines>
          <c:spPr>
            <a:ln>
              <a:solidFill>
                <a:schemeClr val="bg1">
                  <a:lumMod val="85000"/>
                </a:schemeClr>
              </a:solidFill>
            </a:ln>
          </c:spPr>
        </c:majorGridlines>
        <c:numFmt formatCode="#,##0.00" sourceLinked="1"/>
        <c:tickLblPos val="nextTo"/>
        <c:txPr>
          <a:bodyPr/>
          <a:lstStyle/>
          <a:p>
            <a:pPr>
              <a:defRPr sz="800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363824640"/>
        <c:crosses val="autoZero"/>
        <c:crossBetween val="between"/>
      </c:valAx>
    </c:plotArea>
    <c:legend>
      <c:legendPos val="b"/>
      <c:txPr>
        <a:bodyPr/>
        <a:lstStyle/>
        <a:p>
          <a:pPr>
            <a:defRPr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gap"/>
  </c:chart>
  <c:spPr>
    <a:ln>
      <a:noFill/>
    </a:ln>
  </c:spPr>
  <c:externalData r:id="rId1"/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0.00819</cdr:x>
      <cdr:y>0.01665</cdr:y>
    </cdr:from>
    <cdr:to>
      <cdr:x>0.21774</cdr:x>
      <cdr:y>0.17117</cdr:y>
    </cdr:to>
    <cdr:sp macro="" textlink="">
      <cdr:nvSpPr>
        <cdr:cNvPr id="2" name="TextBox 5"/>
        <cdr:cNvSpPr txBox="1"/>
      </cdr:nvSpPr>
      <cdr:spPr>
        <a:xfrm xmlns:a="http://schemas.openxmlformats.org/drawingml/2006/main">
          <a:off x="48647" y="30450"/>
          <a:ext cx="1244693" cy="282588"/>
        </a:xfrm>
        <a:prstGeom xmlns:a="http://schemas.openxmlformats.org/drawingml/2006/main" prst="rect">
          <a:avLst/>
        </a:prstGeom>
        <a:solidFill xmlns:a="http://schemas.openxmlformats.org/drawingml/2006/main">
          <a:schemeClr val="lt1"/>
        </a:solidFill>
        <a:ln xmlns:a="http://schemas.openxmlformats.org/drawingml/2006/main" w="9525" cmpd="sng">
          <a:solidFill>
            <a:schemeClr val="lt1">
              <a:shade val="50000"/>
            </a:schemeClr>
          </a:solidFill>
        </a:ln>
      </cdr:spPr>
      <cdr:style>
        <a:lnRef xmlns:a="http://schemas.openxmlformats.org/drawingml/2006/main" idx="0">
          <a:scrgbClr r="0" g="0" b="0"/>
        </a:lnRef>
        <a:fillRef xmlns:a="http://schemas.openxmlformats.org/drawingml/2006/main" idx="0">
          <a:scrgbClr r="0" g="0" b="0"/>
        </a:fillRef>
        <a:effectRef xmlns:a="http://schemas.openxmlformats.org/drawingml/2006/main" idx="0">
          <a:scrgbClr r="0" g="0" b="0"/>
        </a:effectRef>
        <a:fontRef xmlns:a="http://schemas.openxmlformats.org/drawingml/2006/main" idx="minor">
          <a:schemeClr val="dk1"/>
        </a:fontRef>
      </cdr:style>
      <cdr:txBody>
        <a:bodyPr xmlns:a="http://schemas.openxmlformats.org/drawingml/2006/main" wrap="square" rtlCol="0" anchor="t"/>
        <a:lstStyle xmlns:a="http://schemas.openxmlformats.org/drawingml/2006/main">
          <a:lvl1pPr marL="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1pPr>
          <a:lvl2pPr marL="45720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2pPr>
          <a:lvl3pPr marL="91440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3pPr>
          <a:lvl4pPr marL="137160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4pPr>
          <a:lvl5pPr marL="182880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5pPr>
          <a:lvl6pPr marL="228600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6pPr>
          <a:lvl7pPr marL="274320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7pPr>
          <a:lvl8pPr marL="320040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8pPr>
          <a:lvl9pPr marL="365760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9pPr>
        </a:lstStyle>
        <a:p xmlns:a="http://schemas.openxmlformats.org/drawingml/2006/main">
          <a:r>
            <a:rPr lang="ru-RU" sz="1200">
              <a:latin typeface="Times New Roman" panose="02020603050405020304" pitchFamily="18" charset="0"/>
              <a:cs typeface="Times New Roman" panose="02020603050405020304" pitchFamily="18" charset="0"/>
            </a:rPr>
            <a:t>66,6 млн.руб.</a:t>
          </a:r>
        </a:p>
      </cdr:txBody>
    </cdr:sp>
  </cdr:relSizeAnchor>
  <cdr:relSizeAnchor xmlns:cdr="http://schemas.openxmlformats.org/drawingml/2006/chartDrawing">
    <cdr:from>
      <cdr:x>0.00277</cdr:x>
      <cdr:y>0.55405</cdr:y>
    </cdr:from>
    <cdr:to>
      <cdr:x>0.18584</cdr:x>
      <cdr:y>0.69951</cdr:y>
    </cdr:to>
    <cdr:sp macro="" textlink="">
      <cdr:nvSpPr>
        <cdr:cNvPr id="8" name="TextBox 5"/>
        <cdr:cNvSpPr txBox="1"/>
      </cdr:nvSpPr>
      <cdr:spPr>
        <a:xfrm xmlns:a="http://schemas.openxmlformats.org/drawingml/2006/main">
          <a:off x="16477" y="1013254"/>
          <a:ext cx="1087394" cy="266017"/>
        </a:xfrm>
        <a:prstGeom xmlns:a="http://schemas.openxmlformats.org/drawingml/2006/main" prst="rect">
          <a:avLst/>
        </a:prstGeom>
        <a:solidFill xmlns:a="http://schemas.openxmlformats.org/drawingml/2006/main">
          <a:schemeClr val="lt1"/>
        </a:solidFill>
        <a:ln xmlns:a="http://schemas.openxmlformats.org/drawingml/2006/main" w="9525" cmpd="sng">
          <a:solidFill>
            <a:schemeClr val="lt1">
              <a:shade val="50000"/>
            </a:schemeClr>
          </a:solidFill>
        </a:ln>
      </cdr:spPr>
      <cdr:style>
        <a:lnRef xmlns:a="http://schemas.openxmlformats.org/drawingml/2006/main" idx="0">
          <a:scrgbClr r="0" g="0" b="0"/>
        </a:lnRef>
        <a:fillRef xmlns:a="http://schemas.openxmlformats.org/drawingml/2006/main" idx="0">
          <a:scrgbClr r="0" g="0" b="0"/>
        </a:fillRef>
        <a:effectRef xmlns:a="http://schemas.openxmlformats.org/drawingml/2006/main" idx="0">
          <a:scrgbClr r="0" g="0" b="0"/>
        </a:effectRef>
        <a:fontRef xmlns:a="http://schemas.openxmlformats.org/drawingml/2006/main" idx="minor">
          <a:schemeClr val="dk1"/>
        </a:fontRef>
      </cdr:style>
      <cdr:txBody>
        <a:bodyPr xmlns:a="http://schemas.openxmlformats.org/drawingml/2006/main" wrap="square" rtlCol="0" anchor="t"/>
        <a:lstStyle xmlns:a="http://schemas.openxmlformats.org/drawingml/2006/main">
          <a:lvl1pPr marL="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1pPr>
          <a:lvl2pPr marL="45720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2pPr>
          <a:lvl3pPr marL="91440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3pPr>
          <a:lvl4pPr marL="137160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4pPr>
          <a:lvl5pPr marL="182880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5pPr>
          <a:lvl6pPr marL="228600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6pPr>
          <a:lvl7pPr marL="274320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7pPr>
          <a:lvl8pPr marL="320040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8pPr>
          <a:lvl9pPr marL="365760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9pPr>
        </a:lstStyle>
        <a:p xmlns:a="http://schemas.openxmlformats.org/drawingml/2006/main">
          <a:r>
            <a:rPr lang="ru-RU" sz="1200">
              <a:latin typeface="Times New Roman" panose="02020603050405020304" pitchFamily="18" charset="0"/>
              <a:cs typeface="Times New Roman" panose="02020603050405020304" pitchFamily="18" charset="0"/>
            </a:rPr>
            <a:t>59,0 млн.руб.</a:t>
          </a:r>
        </a:p>
      </cdr:txBody>
    </cdr:sp>
  </cdr:relSizeAnchor>
  <cdr:relSizeAnchor xmlns:cdr="http://schemas.openxmlformats.org/drawingml/2006/chartDrawing">
    <cdr:from>
      <cdr:x>0.47101</cdr:x>
      <cdr:y>0.11684</cdr:y>
    </cdr:from>
    <cdr:to>
      <cdr:x>0.66571</cdr:x>
      <cdr:y>0.26126</cdr:y>
    </cdr:to>
    <cdr:sp macro="" textlink="">
      <cdr:nvSpPr>
        <cdr:cNvPr id="9" name="TextBox 5"/>
        <cdr:cNvSpPr txBox="1"/>
      </cdr:nvSpPr>
      <cdr:spPr>
        <a:xfrm xmlns:a="http://schemas.openxmlformats.org/drawingml/2006/main">
          <a:off x="2797694" y="213680"/>
          <a:ext cx="1156468" cy="264115"/>
        </a:xfrm>
        <a:prstGeom xmlns:a="http://schemas.openxmlformats.org/drawingml/2006/main" prst="rect">
          <a:avLst/>
        </a:prstGeom>
        <a:solidFill xmlns:a="http://schemas.openxmlformats.org/drawingml/2006/main">
          <a:schemeClr val="lt1"/>
        </a:solidFill>
        <a:ln xmlns:a="http://schemas.openxmlformats.org/drawingml/2006/main" w="9525" cmpd="sng">
          <a:solidFill>
            <a:schemeClr val="lt1">
              <a:shade val="50000"/>
            </a:schemeClr>
          </a:solidFill>
        </a:ln>
      </cdr:spPr>
      <cdr:style>
        <a:lnRef xmlns:a="http://schemas.openxmlformats.org/drawingml/2006/main" idx="0">
          <a:scrgbClr r="0" g="0" b="0"/>
        </a:lnRef>
        <a:fillRef xmlns:a="http://schemas.openxmlformats.org/drawingml/2006/main" idx="0">
          <a:scrgbClr r="0" g="0" b="0"/>
        </a:fillRef>
        <a:effectRef xmlns:a="http://schemas.openxmlformats.org/drawingml/2006/main" idx="0">
          <a:scrgbClr r="0" g="0" b="0"/>
        </a:effectRef>
        <a:fontRef xmlns:a="http://schemas.openxmlformats.org/drawingml/2006/main" idx="minor">
          <a:schemeClr val="dk1"/>
        </a:fontRef>
      </cdr:style>
      <cdr:txBody>
        <a:bodyPr xmlns:a="http://schemas.openxmlformats.org/drawingml/2006/main" wrap="square" rtlCol="0" anchor="t"/>
        <a:lstStyle xmlns:a="http://schemas.openxmlformats.org/drawingml/2006/main">
          <a:lvl1pPr marL="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1pPr>
          <a:lvl2pPr marL="45720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2pPr>
          <a:lvl3pPr marL="91440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3pPr>
          <a:lvl4pPr marL="137160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4pPr>
          <a:lvl5pPr marL="182880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5pPr>
          <a:lvl6pPr marL="228600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6pPr>
          <a:lvl7pPr marL="274320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7pPr>
          <a:lvl8pPr marL="320040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8pPr>
          <a:lvl9pPr marL="365760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9pPr>
        </a:lstStyle>
        <a:p xmlns:a="http://schemas.openxmlformats.org/drawingml/2006/main">
          <a:r>
            <a:rPr lang="ru-RU" sz="1200">
              <a:latin typeface="Times New Roman" panose="02020603050405020304" pitchFamily="18" charset="0"/>
              <a:cs typeface="Times New Roman" panose="02020603050405020304" pitchFamily="18" charset="0"/>
            </a:rPr>
            <a:t>201,9 млн.руб.</a:t>
          </a:r>
        </a:p>
      </cdr:txBody>
    </cdr:sp>
  </cdr:relSizeAnchor>
  <cdr:relSizeAnchor xmlns:cdr="http://schemas.openxmlformats.org/drawingml/2006/chartDrawing">
    <cdr:from>
      <cdr:x>0.1054</cdr:x>
      <cdr:y>0.18468</cdr:y>
    </cdr:from>
    <cdr:to>
      <cdr:x>0.19555</cdr:x>
      <cdr:y>0.32432</cdr:y>
    </cdr:to>
    <cdr:cxnSp macro="">
      <cdr:nvCxnSpPr>
        <cdr:cNvPr id="11" name="Прямая соединительная линия 10"/>
        <cdr:cNvCxnSpPr/>
      </cdr:nvCxnSpPr>
      <cdr:spPr>
        <a:xfrm xmlns:a="http://schemas.openxmlformats.org/drawingml/2006/main" flipH="1" flipV="1">
          <a:off x="626075" y="337751"/>
          <a:ext cx="535461" cy="255374"/>
        </a:xfrm>
        <a:prstGeom xmlns:a="http://schemas.openxmlformats.org/drawingml/2006/main" prst="line">
          <a:avLst/>
        </a:prstGeom>
      </cdr:spPr>
      <cdr:style>
        <a:lnRef xmlns:a="http://schemas.openxmlformats.org/drawingml/2006/main" idx="1">
          <a:schemeClr val="dk1"/>
        </a:lnRef>
        <a:fillRef xmlns:a="http://schemas.openxmlformats.org/drawingml/2006/main" idx="0">
          <a:schemeClr val="dk1"/>
        </a:fillRef>
        <a:effectRef xmlns:a="http://schemas.openxmlformats.org/drawingml/2006/main" idx="0">
          <a:schemeClr val="dk1"/>
        </a:effectRef>
        <a:fontRef xmlns:a="http://schemas.openxmlformats.org/drawingml/2006/main" idx="minor">
          <a:schemeClr val="tx1"/>
        </a:fontRef>
      </cdr:style>
    </cdr:cxnSp>
  </cdr:relSizeAnchor>
  <cdr:relSizeAnchor xmlns:cdr="http://schemas.openxmlformats.org/drawingml/2006/chartDrawing">
    <cdr:from>
      <cdr:x>0.09847</cdr:x>
      <cdr:y>0.71171</cdr:y>
    </cdr:from>
    <cdr:to>
      <cdr:x>0.21358</cdr:x>
      <cdr:y>0.79279</cdr:y>
    </cdr:to>
    <cdr:cxnSp macro="">
      <cdr:nvCxnSpPr>
        <cdr:cNvPr id="25" name="Прямая соединительная линия 24"/>
        <cdr:cNvCxnSpPr/>
      </cdr:nvCxnSpPr>
      <cdr:spPr>
        <a:xfrm xmlns:a="http://schemas.openxmlformats.org/drawingml/2006/main" flipH="1" flipV="1">
          <a:off x="584886" y="1301578"/>
          <a:ext cx="683741" cy="148281"/>
        </a:xfrm>
        <a:prstGeom xmlns:a="http://schemas.openxmlformats.org/drawingml/2006/main" prst="line">
          <a:avLst/>
        </a:prstGeom>
      </cdr:spPr>
      <cdr:style>
        <a:lnRef xmlns:a="http://schemas.openxmlformats.org/drawingml/2006/main" idx="1">
          <a:schemeClr val="dk1"/>
        </a:lnRef>
        <a:fillRef xmlns:a="http://schemas.openxmlformats.org/drawingml/2006/main" idx="0">
          <a:schemeClr val="dk1"/>
        </a:fillRef>
        <a:effectRef xmlns:a="http://schemas.openxmlformats.org/drawingml/2006/main" idx="0">
          <a:schemeClr val="dk1"/>
        </a:effectRef>
        <a:fontRef xmlns:a="http://schemas.openxmlformats.org/drawingml/2006/main" idx="minor">
          <a:schemeClr val="tx1"/>
        </a:fontRef>
      </cdr:style>
    </cdr:cxnSp>
  </cdr:relSizeAnchor>
  <cdr:relSizeAnchor xmlns:cdr="http://schemas.openxmlformats.org/drawingml/2006/chartDrawing">
    <cdr:from>
      <cdr:x>0.49096</cdr:x>
      <cdr:y>0.27928</cdr:y>
    </cdr:from>
    <cdr:to>
      <cdr:x>0.56724</cdr:x>
      <cdr:y>0.52252</cdr:y>
    </cdr:to>
    <cdr:cxnSp macro="">
      <cdr:nvCxnSpPr>
        <cdr:cNvPr id="29" name="Прямая соединительная линия 28"/>
        <cdr:cNvCxnSpPr/>
      </cdr:nvCxnSpPr>
      <cdr:spPr>
        <a:xfrm xmlns:a="http://schemas.openxmlformats.org/drawingml/2006/main" flipV="1">
          <a:off x="2916194" y="510746"/>
          <a:ext cx="453081" cy="444843"/>
        </a:xfrm>
        <a:prstGeom xmlns:a="http://schemas.openxmlformats.org/drawingml/2006/main" prst="line">
          <a:avLst/>
        </a:prstGeom>
      </cdr:spPr>
      <cdr:style>
        <a:lnRef xmlns:a="http://schemas.openxmlformats.org/drawingml/2006/main" idx="1">
          <a:schemeClr val="dk1"/>
        </a:lnRef>
        <a:fillRef xmlns:a="http://schemas.openxmlformats.org/drawingml/2006/main" idx="0">
          <a:schemeClr val="dk1"/>
        </a:fillRef>
        <a:effectRef xmlns:a="http://schemas.openxmlformats.org/drawingml/2006/main" idx="0">
          <a:schemeClr val="dk1"/>
        </a:effectRef>
        <a:fontRef xmlns:a="http://schemas.openxmlformats.org/drawingml/2006/main" idx="minor">
          <a:schemeClr val="tx1"/>
        </a:fontRef>
      </cdr:style>
    </cdr:cxnSp>
  </cdr:relSizeAnchor>
</c:userShape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4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392FF0-237E-42BA-BD9D-2462CD3E3E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7119</TotalTime>
  <Pages>60</Pages>
  <Words>21352</Words>
  <Characters>135617</Characters>
  <Application>Microsoft Office Word</Application>
  <DocSecurity>0</DocSecurity>
  <Lines>1130</Lines>
  <Paragraphs>313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Пояснительная записка по исполнению бюджета</vt:lpstr>
    </vt:vector>
  </TitlesOfParts>
  <Company>Организация</Company>
  <LinksUpToDate>false</LinksUpToDate>
  <CharactersWithSpaces>156656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 по исполнению бюджета</dc:title>
  <dc:creator>Bulankina</dc:creator>
  <cp:lastModifiedBy>Кириллова О.Н.</cp:lastModifiedBy>
  <cp:revision>1183</cp:revision>
  <cp:lastPrinted>2020-02-28T06:30:00Z</cp:lastPrinted>
  <dcterms:created xsi:type="dcterms:W3CDTF">2019-02-11T01:52:00Z</dcterms:created>
  <dcterms:modified xsi:type="dcterms:W3CDTF">2020-04-15T09:30:00Z</dcterms:modified>
</cp:coreProperties>
</file>